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4F42" w:rsidRPr="00064F42" w:rsidRDefault="00F6472E" w:rsidP="00064F42">
      <w:pPr>
        <w:spacing w:after="0" w:line="240" w:lineRule="auto"/>
        <w:jc w:val="center"/>
        <w:rPr>
          <w:b/>
        </w:rPr>
      </w:pPr>
      <w:bookmarkStart w:id="0" w:name="_GoBack"/>
      <w:bookmarkEnd w:id="0"/>
      <w:r w:rsidRPr="00064F42">
        <w:rPr>
          <w:b/>
        </w:rPr>
        <w:t>DCG - ECONOMIE CONTEMPORAINE</w:t>
      </w:r>
      <w:r>
        <w:rPr>
          <w:b/>
        </w:rPr>
        <w:t xml:space="preserve"> (UE 5) - </w:t>
      </w:r>
      <w:r w:rsidRPr="00064F42">
        <w:rPr>
          <w:b/>
        </w:rPr>
        <w:t>SUJET 0</w:t>
      </w:r>
    </w:p>
    <w:p w:rsidR="00064F42" w:rsidRDefault="00064F42" w:rsidP="00064F42">
      <w:pPr>
        <w:spacing w:after="0" w:line="240" w:lineRule="auto"/>
        <w:jc w:val="both"/>
      </w:pPr>
    </w:p>
    <w:p w:rsidR="00CF48FC" w:rsidRDefault="000338C8" w:rsidP="00665112">
      <w:pPr>
        <w:spacing w:after="0" w:line="240" w:lineRule="auto"/>
        <w:jc w:val="both"/>
      </w:pPr>
      <w:r>
        <w:t>Chef de mission dans un cabinet d'expertise comptable</w:t>
      </w:r>
      <w:r w:rsidR="00150DAA">
        <w:t xml:space="preserve"> situé à Niort</w:t>
      </w:r>
      <w:r>
        <w:t>, v</w:t>
      </w:r>
      <w:r w:rsidR="00586D43">
        <w:t xml:space="preserve">ous </w:t>
      </w:r>
      <w:r>
        <w:t xml:space="preserve">avez parmi vos clients </w:t>
      </w:r>
      <w:r w:rsidR="00586D43">
        <w:t xml:space="preserve">une PME </w:t>
      </w:r>
      <w:r w:rsidR="00CF48FC">
        <w:t>du secteur bâtiment, spécialisée dans la fabrication de contreplaqués et de panneaux décoratifs.</w:t>
      </w:r>
      <w:r w:rsidR="00F34920">
        <w:t xml:space="preserve"> </w:t>
      </w:r>
      <w:r w:rsidR="00CF48FC">
        <w:t xml:space="preserve"> Installée en Charente depuis un siècle,  elle dispose d'un savoir-faire unique en Europe et est un acteur incontournable du secteur du contreplaqué</w:t>
      </w:r>
      <w:r>
        <w:t xml:space="preserve"> grâce son équipe de plus de 100 professionnels.</w:t>
      </w:r>
      <w:r w:rsidR="00CF48FC">
        <w:t xml:space="preserve"> Ses panneaux de bois </w:t>
      </w:r>
      <w:r w:rsidR="005042A8">
        <w:t>haut de gamme</w:t>
      </w:r>
      <w:r w:rsidR="00CF48FC">
        <w:t xml:space="preserve"> sont déclinés dans une large gamme de produits plus ou moins techniques et pour des utilisations variés (agencement intérieur, façades, terrasses...).</w:t>
      </w:r>
      <w:r w:rsidR="00CF48FC" w:rsidRPr="00CF48FC">
        <w:t xml:space="preserve"> </w:t>
      </w:r>
    </w:p>
    <w:p w:rsidR="00733AAD" w:rsidRDefault="00733AAD" w:rsidP="00665112">
      <w:pPr>
        <w:spacing w:after="0" w:line="240" w:lineRule="auto"/>
        <w:jc w:val="both"/>
      </w:pPr>
    </w:p>
    <w:p w:rsidR="00C17A12" w:rsidRDefault="00EF6E46" w:rsidP="00665112">
      <w:pPr>
        <w:spacing w:line="240" w:lineRule="auto"/>
        <w:jc w:val="both"/>
      </w:pPr>
      <w:r>
        <w:t xml:space="preserve">Après avoir exporté pendant plusieurs années aux Pays-Bas, l'entreprise envisage </w:t>
      </w:r>
      <w:r w:rsidR="00056BF1">
        <w:t>d'étendre ses exportations</w:t>
      </w:r>
      <w:r w:rsidR="00DA3CEC">
        <w:t xml:space="preserve"> en Allemagne, </w:t>
      </w:r>
      <w:r w:rsidR="00C17A12">
        <w:t xml:space="preserve">première puissance économique européenne </w:t>
      </w:r>
      <w:r w:rsidR="00A02693">
        <w:t>avec un PIB de 3263 milliards d'euros en 2017</w:t>
      </w:r>
      <w:r w:rsidR="00DA3CEC">
        <w:t xml:space="preserve">. </w:t>
      </w:r>
    </w:p>
    <w:p w:rsidR="00EF6E46" w:rsidRDefault="000338C8" w:rsidP="00665112">
      <w:pPr>
        <w:spacing w:line="240" w:lineRule="auto"/>
        <w:jc w:val="both"/>
      </w:pPr>
      <w:r>
        <w:t>Le responsable export de l'entreprise vous demande de</w:t>
      </w:r>
      <w:r w:rsidR="00150DAA">
        <w:t xml:space="preserve"> le conseiller sur son projet, ce qui vous amène </w:t>
      </w:r>
      <w:r w:rsidR="00EF6E78">
        <w:t xml:space="preserve">à procéder à une analyse </w:t>
      </w:r>
      <w:r w:rsidR="00A02693">
        <w:t xml:space="preserve">approfondie </w:t>
      </w:r>
      <w:r w:rsidR="00EF6E78">
        <w:t>de la situation économique de l'Allemagne</w:t>
      </w:r>
      <w:r w:rsidR="00150DAA">
        <w:t>.</w:t>
      </w:r>
    </w:p>
    <w:p w:rsidR="00990C32" w:rsidRDefault="00990C32" w:rsidP="00665112">
      <w:pPr>
        <w:spacing w:line="240" w:lineRule="auto"/>
        <w:rPr>
          <w:b/>
        </w:rPr>
      </w:pPr>
    </w:p>
    <w:p w:rsidR="00BB65A6" w:rsidRPr="00150DAA" w:rsidRDefault="00F6472E" w:rsidP="00665112">
      <w:pPr>
        <w:spacing w:line="240" w:lineRule="auto"/>
        <w:rPr>
          <w:b/>
        </w:rPr>
      </w:pPr>
      <w:r w:rsidRPr="00150DAA">
        <w:rPr>
          <w:b/>
        </w:rPr>
        <w:t>P</w:t>
      </w:r>
      <w:r>
        <w:rPr>
          <w:b/>
        </w:rPr>
        <w:t>ARTIE 1</w:t>
      </w:r>
      <w:r w:rsidRPr="00150DAA">
        <w:rPr>
          <w:b/>
        </w:rPr>
        <w:t xml:space="preserve"> : ANALYSE </w:t>
      </w:r>
      <w:r>
        <w:rPr>
          <w:b/>
        </w:rPr>
        <w:t xml:space="preserve">ECONOMIQUE A PARTIR </w:t>
      </w:r>
      <w:r w:rsidR="00493E7C">
        <w:rPr>
          <w:b/>
        </w:rPr>
        <w:t>DU</w:t>
      </w:r>
      <w:r>
        <w:rPr>
          <w:b/>
        </w:rPr>
        <w:t xml:space="preserve"> DOSSIER DOCUMENTAIRE</w:t>
      </w:r>
    </w:p>
    <w:p w:rsidR="00F34920" w:rsidRDefault="00586D43" w:rsidP="00665112">
      <w:pPr>
        <w:spacing w:line="240" w:lineRule="auto"/>
      </w:pPr>
      <w:r>
        <w:t xml:space="preserve">1 - </w:t>
      </w:r>
      <w:r w:rsidR="00F34920">
        <w:t>Analyser</w:t>
      </w:r>
      <w:r w:rsidR="000A7233">
        <w:t xml:space="preserve"> </w:t>
      </w:r>
      <w:r>
        <w:t xml:space="preserve">l'activité économique en </w:t>
      </w:r>
      <w:r w:rsidR="00FD7689">
        <w:t>Allemagne en prenant en compte  la contribution des grandes variables macroéconomiques.</w:t>
      </w:r>
    </w:p>
    <w:p w:rsidR="00586D43" w:rsidRDefault="00586D43" w:rsidP="00665112">
      <w:pPr>
        <w:spacing w:line="240" w:lineRule="auto"/>
      </w:pPr>
      <w:r>
        <w:t xml:space="preserve">2 - </w:t>
      </w:r>
      <w:r w:rsidR="000A7233">
        <w:t>Justifie</w:t>
      </w:r>
      <w:r w:rsidR="00F34920">
        <w:t>r</w:t>
      </w:r>
      <w:r w:rsidR="000A7233">
        <w:t xml:space="preserve"> l'usage de </w:t>
      </w:r>
      <w:r w:rsidR="00FD7689">
        <w:t>« </w:t>
      </w:r>
      <w:r w:rsidR="000A7233">
        <w:t>l'indicateur du vivre mieux</w:t>
      </w:r>
      <w:r w:rsidR="00FD7689">
        <w:t> »</w:t>
      </w:r>
      <w:r w:rsidR="000A7233">
        <w:t xml:space="preserve"> </w:t>
      </w:r>
      <w:r w:rsidR="00286C83">
        <w:t>pour rendre compte de la situation économique de l'Allemagne</w:t>
      </w:r>
      <w:r w:rsidR="000A7233">
        <w:t xml:space="preserve"> </w:t>
      </w:r>
    </w:p>
    <w:p w:rsidR="00F6472E" w:rsidRPr="00F6472E" w:rsidRDefault="00F6472E" w:rsidP="00F6472E">
      <w:pPr>
        <w:spacing w:line="240" w:lineRule="auto"/>
      </w:pPr>
      <w:r w:rsidRPr="00F6472E">
        <w:t>3 -</w:t>
      </w:r>
      <w:r w:rsidR="002F6198">
        <w:t xml:space="preserve"> </w:t>
      </w:r>
      <w:r w:rsidR="006743CB">
        <w:t>Analyser</w:t>
      </w:r>
      <w:r w:rsidRPr="00F6472E">
        <w:t xml:space="preserve"> </w:t>
      </w:r>
      <w:r w:rsidR="00E87C6D">
        <w:t>la situation budgétaire des administrations publiques allemandes</w:t>
      </w:r>
      <w:r w:rsidRPr="00F6472E">
        <w:t xml:space="preserve"> et </w:t>
      </w:r>
      <w:r w:rsidR="00E87C6D">
        <w:t xml:space="preserve">ses </w:t>
      </w:r>
      <w:r w:rsidR="006743CB">
        <w:t>enjeux</w:t>
      </w:r>
      <w:r w:rsidR="00286C83">
        <w:t xml:space="preserve"> en matière de politiques économiques</w:t>
      </w:r>
    </w:p>
    <w:p w:rsidR="00586D43" w:rsidRDefault="006743CB" w:rsidP="00665112">
      <w:pPr>
        <w:spacing w:line="240" w:lineRule="auto"/>
      </w:pPr>
      <w:r>
        <w:t>4</w:t>
      </w:r>
      <w:r w:rsidR="00586D43">
        <w:t xml:space="preserve"> - </w:t>
      </w:r>
      <w:r w:rsidR="00BB65A6">
        <w:t>Analyse</w:t>
      </w:r>
      <w:r w:rsidR="00F34920">
        <w:t>r</w:t>
      </w:r>
      <w:r w:rsidR="00BB65A6">
        <w:t xml:space="preserve"> </w:t>
      </w:r>
      <w:r w:rsidR="000A7233">
        <w:t>les effets attendus des mesures de politique environnementale</w:t>
      </w:r>
      <w:r w:rsidR="00F34920">
        <w:t xml:space="preserve"> allemande</w:t>
      </w:r>
      <w:r w:rsidR="000A7233">
        <w:t xml:space="preserve"> sur les</w:t>
      </w:r>
      <w:r w:rsidR="00F34920">
        <w:t xml:space="preserve"> comportements des acteurs </w:t>
      </w:r>
    </w:p>
    <w:p w:rsidR="006743CB" w:rsidRDefault="006743CB" w:rsidP="006743CB">
      <w:pPr>
        <w:spacing w:line="240" w:lineRule="auto"/>
      </w:pPr>
      <w:r>
        <w:t>5 - Caractériser  la situation du marché du travail en Allemagne ainsi que l'action des pouvoirs publics sur ce marché</w:t>
      </w:r>
    </w:p>
    <w:p w:rsidR="00E93489" w:rsidRDefault="00E93489" w:rsidP="00665112">
      <w:pPr>
        <w:spacing w:line="240" w:lineRule="auto"/>
        <w:rPr>
          <w:b/>
        </w:rPr>
      </w:pPr>
    </w:p>
    <w:p w:rsidR="00BB65A6" w:rsidRPr="00150DAA" w:rsidRDefault="00F6472E" w:rsidP="00665112">
      <w:pPr>
        <w:spacing w:line="240" w:lineRule="auto"/>
        <w:rPr>
          <w:b/>
        </w:rPr>
      </w:pPr>
      <w:r>
        <w:rPr>
          <w:b/>
        </w:rPr>
        <w:t>P</w:t>
      </w:r>
      <w:r w:rsidRPr="00150DAA">
        <w:rPr>
          <w:b/>
        </w:rPr>
        <w:t xml:space="preserve">ARTIE </w:t>
      </w:r>
      <w:r>
        <w:rPr>
          <w:b/>
        </w:rPr>
        <w:t xml:space="preserve">2 </w:t>
      </w:r>
      <w:r w:rsidRPr="00150DAA">
        <w:rPr>
          <w:b/>
        </w:rPr>
        <w:t xml:space="preserve">: </w:t>
      </w:r>
      <w:r>
        <w:rPr>
          <w:b/>
        </w:rPr>
        <w:t>QUESTION PROBLEMATISEE</w:t>
      </w:r>
    </w:p>
    <w:p w:rsidR="005042A8" w:rsidRDefault="00F6472E" w:rsidP="005042A8">
      <w:pPr>
        <w:spacing w:after="0" w:line="240" w:lineRule="auto"/>
      </w:pPr>
      <w:r>
        <w:t>Traiter la question suivante d</w:t>
      </w:r>
      <w:r w:rsidR="00F34920">
        <w:t xml:space="preserve">ans une argumentation structurée s'appuyant sur le contexte et vos connaissances : </w:t>
      </w:r>
      <w:r w:rsidR="00150DAA">
        <w:t xml:space="preserve"> </w:t>
      </w:r>
    </w:p>
    <w:p w:rsidR="00BB65A6" w:rsidRDefault="00150DAA" w:rsidP="00F34920">
      <w:pPr>
        <w:spacing w:after="0" w:line="240" w:lineRule="auto"/>
        <w:jc w:val="center"/>
      </w:pPr>
      <w:r>
        <w:t xml:space="preserve">La compétitivité </w:t>
      </w:r>
      <w:r w:rsidR="00525AE2">
        <w:t>de l'Allemagne</w:t>
      </w:r>
      <w:r>
        <w:t xml:space="preserve"> passe-t-elle nécessairement par la maîtrise des prix ?</w:t>
      </w:r>
    </w:p>
    <w:p w:rsidR="005042A8" w:rsidRDefault="005042A8" w:rsidP="005042A8">
      <w:pPr>
        <w:spacing w:after="0" w:line="240" w:lineRule="auto"/>
      </w:pPr>
    </w:p>
    <w:p w:rsidR="00F34920" w:rsidRDefault="00F6472E" w:rsidP="00213167">
      <w:pPr>
        <w:pStyle w:val="Titre1"/>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 xml:space="preserve">DOSSIER DOCUMENTAIRE : </w:t>
      </w:r>
    </w:p>
    <w:p w:rsidR="00F6472E" w:rsidRDefault="00F6472E" w:rsidP="00213167">
      <w:pPr>
        <w:pStyle w:val="Titre1"/>
        <w:rPr>
          <w:rFonts w:asciiTheme="minorHAnsi" w:eastAsiaTheme="minorHAnsi" w:hAnsiTheme="minorHAnsi" w:cstheme="minorBidi"/>
          <w:bCs w:val="0"/>
          <w:kern w:val="0"/>
          <w:sz w:val="22"/>
          <w:szCs w:val="22"/>
          <w:lang w:eastAsia="en-US"/>
        </w:rPr>
      </w:pPr>
    </w:p>
    <w:p w:rsidR="00213167" w:rsidRPr="00213167" w:rsidRDefault="00213167" w:rsidP="00213167">
      <w:pPr>
        <w:pStyle w:val="Titre1"/>
        <w:rPr>
          <w:rFonts w:asciiTheme="minorHAnsi" w:eastAsiaTheme="minorHAnsi" w:hAnsiTheme="minorHAnsi" w:cstheme="minorBidi"/>
          <w:b w:val="0"/>
          <w:bCs w:val="0"/>
          <w:kern w:val="0"/>
          <w:sz w:val="22"/>
          <w:szCs w:val="22"/>
          <w:lang w:eastAsia="en-US"/>
        </w:rPr>
      </w:pPr>
      <w:r w:rsidRPr="00213167">
        <w:rPr>
          <w:rFonts w:asciiTheme="minorHAnsi" w:eastAsiaTheme="minorHAnsi" w:hAnsiTheme="minorHAnsi" w:cstheme="minorBidi"/>
          <w:bCs w:val="0"/>
          <w:kern w:val="0"/>
          <w:sz w:val="22"/>
          <w:szCs w:val="22"/>
          <w:lang w:eastAsia="en-US"/>
        </w:rPr>
        <w:t>Annexe 1 :</w:t>
      </w:r>
      <w:r w:rsidRPr="00213167">
        <w:rPr>
          <w:rFonts w:asciiTheme="minorHAnsi" w:eastAsiaTheme="minorHAnsi" w:hAnsiTheme="minorHAnsi" w:cstheme="minorBidi"/>
          <w:b w:val="0"/>
          <w:bCs w:val="0"/>
          <w:kern w:val="0"/>
          <w:sz w:val="22"/>
          <w:szCs w:val="22"/>
          <w:lang w:eastAsia="en-US"/>
        </w:rPr>
        <w:t xml:space="preserve"> Le modèle économique allemand sous pression</w:t>
      </w:r>
      <w:r>
        <w:rPr>
          <w:rFonts w:asciiTheme="minorHAnsi" w:eastAsiaTheme="minorHAnsi" w:hAnsiTheme="minorHAnsi" w:cstheme="minorBidi"/>
          <w:b w:val="0"/>
          <w:bCs w:val="0"/>
          <w:kern w:val="0"/>
          <w:sz w:val="22"/>
          <w:szCs w:val="22"/>
          <w:lang w:eastAsia="en-US"/>
        </w:rPr>
        <w:t xml:space="preserve"> </w:t>
      </w:r>
    </w:p>
    <w:p w:rsidR="00213167" w:rsidRPr="00213167" w:rsidRDefault="00213167" w:rsidP="00213167">
      <w:pPr>
        <w:spacing w:after="0" w:line="240" w:lineRule="auto"/>
        <w:jc w:val="both"/>
      </w:pPr>
      <w:r w:rsidRPr="00213167">
        <w:rPr>
          <w:b/>
        </w:rPr>
        <w:t>Annexe 2 :</w:t>
      </w:r>
      <w:r w:rsidRPr="00213167">
        <w:t xml:space="preserve"> Allemagne - Résumé des projections économiques (novembre 2018)</w:t>
      </w:r>
    </w:p>
    <w:p w:rsidR="00213167" w:rsidRPr="00213167" w:rsidRDefault="00213167" w:rsidP="00213167">
      <w:pPr>
        <w:spacing w:after="0" w:line="240" w:lineRule="auto"/>
        <w:jc w:val="both"/>
      </w:pPr>
      <w:r w:rsidRPr="00213167">
        <w:rPr>
          <w:b/>
        </w:rPr>
        <w:t>Annexe 3 :</w:t>
      </w:r>
      <w:r w:rsidRPr="00213167">
        <w:t xml:space="preserve"> L'économie allemande montre ses faiblesses structurelles</w:t>
      </w:r>
    </w:p>
    <w:p w:rsidR="00213167" w:rsidRPr="00213167" w:rsidRDefault="00213167" w:rsidP="00213167">
      <w:pPr>
        <w:spacing w:after="0" w:line="240" w:lineRule="auto"/>
        <w:jc w:val="both"/>
      </w:pPr>
      <w:r w:rsidRPr="00213167">
        <w:rPr>
          <w:b/>
        </w:rPr>
        <w:t xml:space="preserve">Annexe </w:t>
      </w:r>
      <w:r w:rsidR="005B1B4A">
        <w:rPr>
          <w:b/>
        </w:rPr>
        <w:t>4</w:t>
      </w:r>
      <w:r w:rsidRPr="00213167">
        <w:rPr>
          <w:b/>
        </w:rPr>
        <w:t xml:space="preserve"> :</w:t>
      </w:r>
      <w:r w:rsidRPr="00213167">
        <w:t xml:space="preserve">  Indicateur du vivre mieux en Allemagne, 2017</w:t>
      </w:r>
    </w:p>
    <w:p w:rsidR="00213167" w:rsidRDefault="00213167" w:rsidP="00213167">
      <w:pPr>
        <w:spacing w:after="0" w:line="240" w:lineRule="auto"/>
        <w:jc w:val="both"/>
      </w:pPr>
      <w:r w:rsidRPr="00213167">
        <w:rPr>
          <w:b/>
        </w:rPr>
        <w:t xml:space="preserve">Annexe </w:t>
      </w:r>
      <w:r w:rsidR="000E4BE3">
        <w:rPr>
          <w:b/>
        </w:rPr>
        <w:t>5</w:t>
      </w:r>
      <w:r w:rsidRPr="00213167">
        <w:rPr>
          <w:b/>
        </w:rPr>
        <w:t xml:space="preserve"> :</w:t>
      </w:r>
      <w:r w:rsidRPr="00213167">
        <w:t xml:space="preserve"> le marché du travail allemand</w:t>
      </w:r>
      <w:r>
        <w:t xml:space="preserve"> en 2018</w:t>
      </w:r>
    </w:p>
    <w:p w:rsidR="00150DAA" w:rsidRDefault="00A362FF" w:rsidP="00F34920">
      <w:pPr>
        <w:spacing w:after="0" w:line="240" w:lineRule="auto"/>
        <w:jc w:val="both"/>
      </w:pPr>
      <w:r w:rsidRPr="00A362FF">
        <w:rPr>
          <w:b/>
        </w:rPr>
        <w:t xml:space="preserve">Annexe 6 : </w:t>
      </w:r>
      <w:r w:rsidRPr="00BA7FD3">
        <w:t xml:space="preserve">Les travailleurs pauvres </w:t>
      </w:r>
      <w:r w:rsidR="002A459C">
        <w:t>dans l'Union européenne</w:t>
      </w:r>
      <w:r w:rsidRPr="00A362FF">
        <w:rPr>
          <w:b/>
        </w:rPr>
        <w:t xml:space="preserve"> </w:t>
      </w:r>
      <w:r w:rsidR="00150DAA">
        <w:br w:type="page"/>
      </w:r>
    </w:p>
    <w:p w:rsidR="00150DAA" w:rsidRPr="00150DAA" w:rsidRDefault="00150DAA" w:rsidP="00150DAA">
      <w:pPr>
        <w:pStyle w:val="Titre1"/>
        <w:rPr>
          <w:rFonts w:asciiTheme="minorHAnsi" w:eastAsiaTheme="minorHAnsi" w:hAnsiTheme="minorHAnsi" w:cstheme="minorBidi"/>
          <w:bCs w:val="0"/>
          <w:kern w:val="0"/>
          <w:sz w:val="22"/>
          <w:szCs w:val="22"/>
          <w:lang w:eastAsia="en-US"/>
        </w:rPr>
      </w:pPr>
      <w:r w:rsidRPr="00150DAA">
        <w:rPr>
          <w:rFonts w:asciiTheme="minorHAnsi" w:eastAsiaTheme="minorHAnsi" w:hAnsiTheme="minorHAnsi" w:cstheme="minorBidi"/>
          <w:bCs w:val="0"/>
          <w:kern w:val="0"/>
          <w:sz w:val="22"/>
          <w:szCs w:val="22"/>
          <w:lang w:eastAsia="en-US"/>
        </w:rPr>
        <w:lastRenderedPageBreak/>
        <w:t>Annexe 1 : Le modèle économique allemand sous pression</w:t>
      </w:r>
    </w:p>
    <w:p w:rsidR="00090A8C" w:rsidRDefault="00150DAA" w:rsidP="00150DAA">
      <w:pPr>
        <w:spacing w:after="0" w:line="240" w:lineRule="auto"/>
        <w:jc w:val="both"/>
      </w:pPr>
      <w:r w:rsidRPr="00150DAA">
        <w:t xml:space="preserve">L’Allemagne est à la fois admirée et vouée aux gémonies. Son modèle économique, avec un taux de chômage tombé à 3,9 %, suscite l’admiration. En même temps, ces excédents commerciaux énormes, accusés d’exporter le chômage, et son influence décisive sur les politiques d’austérité en Europe, suscitent de vives critiques, remarque </w:t>
      </w:r>
      <w:hyperlink r:id="rId8" w:history="1">
        <w:r w:rsidRPr="00150DAA">
          <w:t>The Economist</w:t>
        </w:r>
      </w:hyperlink>
      <w:r w:rsidRPr="00150DAA">
        <w:t xml:space="preserve">. L’année dernière, l’excédent courant de l’Allemagne a atteint 8,3 % du PIB. A près de 300 milliards de dollars, il est beaucoup plus important que l’excédent de la Chine, qui attire les foudres du Congrès américain. Certaines institutions accusent ce déficit d’être plus élevé que justifié. </w:t>
      </w:r>
    </w:p>
    <w:p w:rsidR="00090A8C" w:rsidRDefault="00090A8C" w:rsidP="00150DAA">
      <w:pPr>
        <w:spacing w:after="0" w:line="240" w:lineRule="auto"/>
        <w:jc w:val="both"/>
      </w:pPr>
    </w:p>
    <w:p w:rsidR="00090A8C" w:rsidRDefault="00150DAA" w:rsidP="00150DAA">
      <w:pPr>
        <w:spacing w:after="0" w:line="240" w:lineRule="auto"/>
        <w:jc w:val="both"/>
      </w:pPr>
      <w:r w:rsidRPr="00150DAA">
        <w:t xml:space="preserve">Mais ce qui rend le problème tellement difficile à résoudre, voire à reconnaître, c’est que les excédents de l’épargne de l’Allemagne ne sont pas le résultat d’une politique économique explicite. Leurs racines reposent sur un modèle tacite qui met en évidence les facettes positives et négatives du modèle allemand. L’origine de ce modèle remonte aux années 1990, quand la compétitivité du pays s’est réduite, avec de fortes hausses de salaires conduisant à un déficit extérieur rare et à un haut niveau de chômage. Mais une caractéristique importante du système allemand est que les syndicats ont des représentants dans les conseils d’entreprise : ils peuvent voir directement comment les augmentations de salaire peuvent nuire à la compétitivité. Les bonnes relations de travail, régies par des normes plutôt que par une législation, ont fait que les entreprises étaient suffisamment souples pour s’adapter aux nouveaux défis. Les salaires ont été négociés au niveau des entreprises et non plus globalement. Et cela a conduit à une modération salariale permettant aux entreprises de regagner en compétitivité. Cela a conduit aussi à une dispersion des salaires. </w:t>
      </w:r>
    </w:p>
    <w:p w:rsidR="00090A8C" w:rsidRDefault="00090A8C" w:rsidP="00150DAA">
      <w:pPr>
        <w:spacing w:after="0" w:line="240" w:lineRule="auto"/>
        <w:jc w:val="both"/>
      </w:pPr>
    </w:p>
    <w:p w:rsidR="00090A8C" w:rsidRDefault="00150DAA" w:rsidP="00150DAA">
      <w:pPr>
        <w:spacing w:after="0" w:line="240" w:lineRule="auto"/>
        <w:jc w:val="both"/>
      </w:pPr>
      <w:r w:rsidRPr="00150DAA">
        <w:t xml:space="preserve">Par ailleurs, la réforme du marché du travail, connue sous le nom d’« agenda 2010 », a réduit les allocations de chômage et a renforcé les conditions pour en bénéficier à la recherche active d’un emploi. L’emploi est reparti mais au prix politique pour le parti social-démocrate SPD de perte du pouvoir et de perte du soutien des ouvriers. Ce regain de compétitivité s’est fait à un autre prix : la consommation reste déprimée et à un niveau inférieur à celui des Etats-Unis ou du Royaume-Uni. Mais l’économie est tournée naturellement vers l’exportation car les produits allemands haut de gamme et à forte valeur ajoutée ne peuvent être écoulés qu’à l’étranger. La compétitivité ne peut être maintenue que si les salaires sont contraints pour garantir des profits investis constamment dans l’innovation et le budget public doit être équilibré pour éviter les hausses de salaires des fonctionnaires, qui pèseraient sur l’ensemble des salaires allemands. </w:t>
      </w:r>
    </w:p>
    <w:p w:rsidR="00090A8C" w:rsidRDefault="00090A8C" w:rsidP="00150DAA">
      <w:pPr>
        <w:spacing w:after="0" w:line="240" w:lineRule="auto"/>
        <w:jc w:val="both"/>
      </w:pPr>
    </w:p>
    <w:p w:rsidR="00150DAA" w:rsidRPr="00150DAA" w:rsidRDefault="00150DAA" w:rsidP="00150DAA">
      <w:pPr>
        <w:spacing w:after="0" w:line="240" w:lineRule="auto"/>
        <w:jc w:val="both"/>
      </w:pPr>
      <w:r w:rsidRPr="00150DAA">
        <w:t>Mais les pressions sont fortes pour que les salaires repartent à la hausse. Car la zone euro est sous la pression depuis des années pour maintenir des bas salaires compétitifs. L’inflation y est trop faible. Par ailleurs, le marché du travail est très tendu et le marché immobilier est reparti à la hausse. L’ère de la stagnation des salaires allemands semble désormais révolue.</w:t>
      </w:r>
    </w:p>
    <w:p w:rsidR="00150DAA" w:rsidRPr="00DA3CEC" w:rsidRDefault="00150DAA" w:rsidP="00150DAA">
      <w:pPr>
        <w:spacing w:after="0" w:line="240" w:lineRule="auto"/>
        <w:jc w:val="both"/>
        <w:rPr>
          <w:i/>
        </w:rPr>
      </w:pPr>
      <w:r w:rsidRPr="00DA3CEC">
        <w:rPr>
          <w:i/>
        </w:rPr>
        <w:t xml:space="preserve">Edouard Pflimlin, www.lemonde.fr, 11 juillet 2017 </w:t>
      </w:r>
    </w:p>
    <w:p w:rsidR="007B3773" w:rsidRDefault="007B3773" w:rsidP="00150DAA">
      <w:pPr>
        <w:spacing w:after="0" w:line="240" w:lineRule="auto"/>
        <w:jc w:val="both"/>
      </w:pPr>
    </w:p>
    <w:p w:rsidR="00744FF7" w:rsidRPr="00744FF7" w:rsidRDefault="00744FF7" w:rsidP="00744FF7">
      <w:pPr>
        <w:spacing w:after="0" w:line="240" w:lineRule="auto"/>
        <w:jc w:val="both"/>
        <w:rPr>
          <w:b/>
        </w:rPr>
      </w:pPr>
      <w:r w:rsidRPr="00744FF7">
        <w:rPr>
          <w:b/>
        </w:rPr>
        <w:t>Annexe 2 : Allemagne - Résumé des projections économiques (novembre 2018)</w:t>
      </w:r>
    </w:p>
    <w:p w:rsidR="00744FF7" w:rsidRPr="004F34A3" w:rsidRDefault="00744FF7" w:rsidP="00744FF7">
      <w:pPr>
        <w:autoSpaceDE w:val="0"/>
        <w:autoSpaceDN w:val="0"/>
        <w:adjustRightInd w:val="0"/>
        <w:spacing w:after="0" w:line="240" w:lineRule="auto"/>
        <w:jc w:val="both"/>
      </w:pPr>
      <w:r w:rsidRPr="004F34A3">
        <w:t>La croissance économique devrait ralentir mais demeurer soutenue, portée par de</w:t>
      </w:r>
      <w:r>
        <w:t xml:space="preserve"> </w:t>
      </w:r>
      <w:r w:rsidRPr="004F34A3">
        <w:t>solides créations d’emplois et une politique de relance budgétaire. Les incertitudes qui</w:t>
      </w:r>
      <w:r>
        <w:t xml:space="preserve"> </w:t>
      </w:r>
      <w:r w:rsidRPr="004F34A3">
        <w:t>entourent le commerce international et le ralentissement de la demande mondiale</w:t>
      </w:r>
      <w:r>
        <w:t xml:space="preserve"> </w:t>
      </w:r>
      <w:r w:rsidRPr="004F34A3">
        <w:t>pèseront sur les exportations. La consommation privée montera en régime à la faveur</w:t>
      </w:r>
      <w:r>
        <w:t xml:space="preserve"> </w:t>
      </w:r>
      <w:r w:rsidRPr="004F34A3">
        <w:t>d’une solide progression des salaires et des mesures budgétaires visant à augmenter le</w:t>
      </w:r>
      <w:r>
        <w:t xml:space="preserve"> </w:t>
      </w:r>
      <w:r w:rsidRPr="004F34A3">
        <w:t>revenu disponible des ménages. La faiblesse des taux d’intérêt, le taux élevé</w:t>
      </w:r>
      <w:r>
        <w:t xml:space="preserve"> </w:t>
      </w:r>
      <w:r w:rsidRPr="004F34A3">
        <w:t>d’utilisation des capacités et la demande croissante de logements soutiendront</w:t>
      </w:r>
      <w:r>
        <w:t xml:space="preserve"> </w:t>
      </w:r>
      <w:r w:rsidRPr="004F34A3">
        <w:t>l’investissement résidentiel et celui des entreprises. L’excédent des paiements courants</w:t>
      </w:r>
    </w:p>
    <w:p w:rsidR="00744FF7" w:rsidRPr="00E5430E" w:rsidRDefault="00744FF7" w:rsidP="00744FF7">
      <w:pPr>
        <w:autoSpaceDE w:val="0"/>
        <w:autoSpaceDN w:val="0"/>
        <w:adjustRightInd w:val="0"/>
        <w:spacing w:after="0" w:line="240" w:lineRule="auto"/>
        <w:jc w:val="both"/>
        <w:rPr>
          <w:vertAlign w:val="superscript"/>
        </w:rPr>
      </w:pPr>
      <w:proofErr w:type="gramStart"/>
      <w:r w:rsidRPr="004F34A3">
        <w:t>diminuera</w:t>
      </w:r>
      <w:proofErr w:type="gramEnd"/>
      <w:r w:rsidRPr="004F34A3">
        <w:t xml:space="preserve"> sous l’effet d’une demande intérieure plus solide qui dopera les importations.</w:t>
      </w:r>
      <w:r>
        <w:t xml:space="preserve"> </w:t>
      </w:r>
      <w:r w:rsidRPr="004F34A3">
        <w:t>La forte augmentation conjoncturelle des recettes publiques permettra au pays de</w:t>
      </w:r>
      <w:r>
        <w:t xml:space="preserve"> </w:t>
      </w:r>
      <w:r w:rsidRPr="004F34A3">
        <w:t xml:space="preserve">conserver un solde budgétaire excédentaire. </w:t>
      </w:r>
      <w:r w:rsidR="006743CB">
        <w:t xml:space="preserve">[Comme </w:t>
      </w:r>
      <w:r w:rsidR="003A49FE">
        <w:t xml:space="preserve">le gouvernement allemand l'a </w:t>
      </w:r>
      <w:r w:rsidR="006743CB">
        <w:t>annoncé</w:t>
      </w:r>
      <w:r w:rsidR="003A49FE">
        <w:t>,</w:t>
      </w:r>
      <w:r w:rsidR="006743CB">
        <w:t>] l</w:t>
      </w:r>
      <w:r w:rsidRPr="004F34A3">
        <w:t>a marge de manœuvre ainsi dégagée</w:t>
      </w:r>
      <w:r>
        <w:t xml:space="preserve"> </w:t>
      </w:r>
      <w:r w:rsidRPr="004F34A3">
        <w:t>devrait être mise à profit pour accroître les dépenses consacrées à l’éducation, aux</w:t>
      </w:r>
      <w:r>
        <w:t xml:space="preserve"> </w:t>
      </w:r>
      <w:r w:rsidRPr="004F34A3">
        <w:t>réseaux à très haut débit et à des infrastructures de transport plus propre, qui</w:t>
      </w:r>
      <w:r>
        <w:t xml:space="preserve"> </w:t>
      </w:r>
      <w:r w:rsidRPr="004F34A3">
        <w:t xml:space="preserve">permettraient de </w:t>
      </w:r>
      <w:r w:rsidRPr="004F34A3">
        <w:lastRenderedPageBreak/>
        <w:t>renforcer les gains de productivité et l’inclusivité. Des allégements</w:t>
      </w:r>
      <w:r>
        <w:t xml:space="preserve"> </w:t>
      </w:r>
      <w:r w:rsidRPr="004F34A3">
        <w:t>d’impôt en faveur des bas salaires et des seconds apporteurs de revenu, ainsi qu’un</w:t>
      </w:r>
      <w:r>
        <w:t xml:space="preserve"> </w:t>
      </w:r>
      <w:r w:rsidRPr="004F34A3">
        <w:t>alourdissement des taxes environnementales et de la fiscalité immobilière, devraient</w:t>
      </w:r>
      <w:r>
        <w:t xml:space="preserve"> </w:t>
      </w:r>
      <w:r w:rsidRPr="004F34A3">
        <w:t>favoriser une croissance plus verte et plus inclusive. Le renforcement de la formation</w:t>
      </w:r>
      <w:r>
        <w:t xml:space="preserve"> </w:t>
      </w:r>
      <w:r w:rsidRPr="004F34A3">
        <w:t>tout au long de la vie aiderait la main-d'œuvre à s’adapter au changement technologique</w:t>
      </w:r>
      <w:r>
        <w:t xml:space="preserve"> </w:t>
      </w:r>
      <w:r w:rsidRPr="004F34A3">
        <w:t>et à se préparer aux emplois de demain.</w:t>
      </w:r>
      <w:r w:rsidR="00E5430E">
        <w:t xml:space="preserve"> </w:t>
      </w:r>
    </w:p>
    <w:p w:rsidR="002F6198" w:rsidRDefault="002F6198" w:rsidP="00744FF7">
      <w:pPr>
        <w:autoSpaceDE w:val="0"/>
        <w:autoSpaceDN w:val="0"/>
        <w:adjustRightInd w:val="0"/>
        <w:spacing w:after="0" w:line="240" w:lineRule="auto"/>
        <w:jc w:val="both"/>
        <w:rPr>
          <w:b/>
        </w:rPr>
      </w:pPr>
    </w:p>
    <w:p w:rsidR="004E7E27" w:rsidRPr="004E7E27" w:rsidRDefault="004E7E27" w:rsidP="00744FF7">
      <w:pPr>
        <w:autoSpaceDE w:val="0"/>
        <w:autoSpaceDN w:val="0"/>
        <w:adjustRightInd w:val="0"/>
        <w:spacing w:after="0" w:line="240" w:lineRule="auto"/>
        <w:jc w:val="both"/>
        <w:rPr>
          <w:b/>
        </w:rPr>
      </w:pPr>
      <w:r w:rsidRPr="004E7E27">
        <w:rPr>
          <w:b/>
        </w:rPr>
        <w:t>Allemagne : perspectives économiques de l'OCDE</w:t>
      </w:r>
    </w:p>
    <w:tbl>
      <w:tblPr>
        <w:tblStyle w:val="Grilledutableau"/>
        <w:tblW w:w="9322" w:type="dxa"/>
        <w:tblLayout w:type="fixed"/>
        <w:tblLook w:val="04A0" w:firstRow="1" w:lastRow="0" w:firstColumn="1" w:lastColumn="0" w:noHBand="0" w:noVBand="1"/>
      </w:tblPr>
      <w:tblGrid>
        <w:gridCol w:w="3461"/>
        <w:gridCol w:w="1911"/>
        <w:gridCol w:w="772"/>
        <w:gridCol w:w="56"/>
        <w:gridCol w:w="708"/>
        <w:gridCol w:w="8"/>
        <w:gridCol w:w="845"/>
        <w:gridCol w:w="772"/>
        <w:gridCol w:w="789"/>
      </w:tblGrid>
      <w:tr w:rsidR="004E7E27" w:rsidTr="00414A0B">
        <w:tc>
          <w:tcPr>
            <w:tcW w:w="3461" w:type="dxa"/>
          </w:tcPr>
          <w:p w:rsidR="004E7E27" w:rsidRDefault="004E7E27" w:rsidP="004E7E27">
            <w:pPr>
              <w:autoSpaceDE w:val="0"/>
              <w:autoSpaceDN w:val="0"/>
              <w:adjustRightInd w:val="0"/>
              <w:jc w:val="center"/>
            </w:pPr>
          </w:p>
        </w:tc>
        <w:tc>
          <w:tcPr>
            <w:tcW w:w="1911" w:type="dxa"/>
          </w:tcPr>
          <w:p w:rsidR="004E7E27" w:rsidRDefault="004E7E27" w:rsidP="004E7E27">
            <w:pPr>
              <w:autoSpaceDE w:val="0"/>
              <w:autoSpaceDN w:val="0"/>
              <w:adjustRightInd w:val="0"/>
              <w:jc w:val="center"/>
            </w:pPr>
            <w:r>
              <w:t>2015</w:t>
            </w:r>
          </w:p>
        </w:tc>
        <w:tc>
          <w:tcPr>
            <w:tcW w:w="772" w:type="dxa"/>
          </w:tcPr>
          <w:p w:rsidR="004E7E27" w:rsidRDefault="004E7E27" w:rsidP="004E7E27">
            <w:pPr>
              <w:autoSpaceDE w:val="0"/>
              <w:autoSpaceDN w:val="0"/>
              <w:adjustRightInd w:val="0"/>
              <w:jc w:val="center"/>
            </w:pPr>
            <w:r>
              <w:t>2016</w:t>
            </w:r>
          </w:p>
        </w:tc>
        <w:tc>
          <w:tcPr>
            <w:tcW w:w="772" w:type="dxa"/>
            <w:gridSpan w:val="3"/>
          </w:tcPr>
          <w:p w:rsidR="004E7E27" w:rsidRDefault="004E7E27" w:rsidP="004E7E27">
            <w:pPr>
              <w:autoSpaceDE w:val="0"/>
              <w:autoSpaceDN w:val="0"/>
              <w:adjustRightInd w:val="0"/>
              <w:jc w:val="center"/>
            </w:pPr>
            <w:r>
              <w:t>2017</w:t>
            </w:r>
          </w:p>
        </w:tc>
        <w:tc>
          <w:tcPr>
            <w:tcW w:w="845" w:type="dxa"/>
          </w:tcPr>
          <w:p w:rsidR="004E7E27" w:rsidRPr="00965E84" w:rsidRDefault="004E7E27" w:rsidP="004E7E27">
            <w:pPr>
              <w:autoSpaceDE w:val="0"/>
              <w:autoSpaceDN w:val="0"/>
              <w:adjustRightInd w:val="0"/>
              <w:jc w:val="center"/>
              <w:rPr>
                <w:vertAlign w:val="superscript"/>
              </w:rPr>
            </w:pPr>
            <w:r>
              <w:t>2018</w:t>
            </w:r>
            <w:r w:rsidR="00965E84">
              <w:rPr>
                <w:vertAlign w:val="superscript"/>
              </w:rPr>
              <w:t>2</w:t>
            </w:r>
          </w:p>
        </w:tc>
        <w:tc>
          <w:tcPr>
            <w:tcW w:w="772" w:type="dxa"/>
          </w:tcPr>
          <w:p w:rsidR="004E7E27" w:rsidRPr="00965E84" w:rsidRDefault="004E7E27" w:rsidP="004E7E27">
            <w:pPr>
              <w:autoSpaceDE w:val="0"/>
              <w:autoSpaceDN w:val="0"/>
              <w:adjustRightInd w:val="0"/>
              <w:jc w:val="center"/>
              <w:rPr>
                <w:vertAlign w:val="superscript"/>
              </w:rPr>
            </w:pPr>
            <w:r w:rsidRPr="00E5430E">
              <w:t>2019</w:t>
            </w:r>
            <w:r w:rsidR="00965E84">
              <w:rPr>
                <w:vertAlign w:val="superscript"/>
              </w:rPr>
              <w:t>2</w:t>
            </w:r>
          </w:p>
        </w:tc>
        <w:tc>
          <w:tcPr>
            <w:tcW w:w="789" w:type="dxa"/>
          </w:tcPr>
          <w:p w:rsidR="004E7E27" w:rsidRPr="00965E84" w:rsidRDefault="004E7E27" w:rsidP="004E7E27">
            <w:pPr>
              <w:autoSpaceDE w:val="0"/>
              <w:autoSpaceDN w:val="0"/>
              <w:adjustRightInd w:val="0"/>
              <w:jc w:val="center"/>
              <w:rPr>
                <w:vertAlign w:val="superscript"/>
              </w:rPr>
            </w:pPr>
            <w:r>
              <w:t>2020</w:t>
            </w:r>
            <w:r w:rsidR="00965E84">
              <w:rPr>
                <w:vertAlign w:val="superscript"/>
              </w:rPr>
              <w:t>2</w:t>
            </w:r>
          </w:p>
        </w:tc>
      </w:tr>
      <w:tr w:rsidR="004E7E27" w:rsidTr="00414A0B">
        <w:tc>
          <w:tcPr>
            <w:tcW w:w="3461" w:type="dxa"/>
          </w:tcPr>
          <w:p w:rsidR="004E7E27" w:rsidRDefault="004E7E27" w:rsidP="00744FF7">
            <w:pPr>
              <w:autoSpaceDE w:val="0"/>
              <w:autoSpaceDN w:val="0"/>
              <w:adjustRightInd w:val="0"/>
              <w:jc w:val="both"/>
            </w:pPr>
          </w:p>
        </w:tc>
        <w:tc>
          <w:tcPr>
            <w:tcW w:w="1911" w:type="dxa"/>
          </w:tcPr>
          <w:p w:rsidR="004E7E27" w:rsidRDefault="004E7E27" w:rsidP="00020FAB">
            <w:pPr>
              <w:autoSpaceDE w:val="0"/>
              <w:autoSpaceDN w:val="0"/>
              <w:adjustRightInd w:val="0"/>
              <w:jc w:val="center"/>
            </w:pPr>
            <w:r>
              <w:t>Prix courants milliards de EUR</w:t>
            </w:r>
          </w:p>
        </w:tc>
        <w:tc>
          <w:tcPr>
            <w:tcW w:w="3950" w:type="dxa"/>
            <w:gridSpan w:val="7"/>
          </w:tcPr>
          <w:p w:rsidR="004E7E27" w:rsidRDefault="004E7E27" w:rsidP="004E7E27">
            <w:pPr>
              <w:autoSpaceDE w:val="0"/>
              <w:autoSpaceDN w:val="0"/>
              <w:adjustRightInd w:val="0"/>
              <w:jc w:val="center"/>
            </w:pPr>
            <w:r>
              <w:t xml:space="preserve">Pourcentage de </w:t>
            </w:r>
            <w:proofErr w:type="gramStart"/>
            <w:r>
              <w:t>variation ,</w:t>
            </w:r>
            <w:proofErr w:type="gramEnd"/>
            <w:r>
              <w:t xml:space="preserve"> en volume (prix de 2010)</w:t>
            </w:r>
          </w:p>
        </w:tc>
      </w:tr>
      <w:tr w:rsidR="004C6176" w:rsidTr="00414A0B">
        <w:tc>
          <w:tcPr>
            <w:tcW w:w="3461" w:type="dxa"/>
          </w:tcPr>
          <w:p w:rsidR="00E5430E" w:rsidRPr="00020FAB" w:rsidRDefault="00E5430E" w:rsidP="00744FF7">
            <w:pPr>
              <w:autoSpaceDE w:val="0"/>
              <w:autoSpaceDN w:val="0"/>
              <w:adjustRightInd w:val="0"/>
              <w:jc w:val="both"/>
              <w:rPr>
                <w:b/>
              </w:rPr>
            </w:pPr>
            <w:r w:rsidRPr="00020FAB">
              <w:rPr>
                <w:b/>
              </w:rPr>
              <w:t>PIB aux prix du marché</w:t>
            </w:r>
          </w:p>
        </w:tc>
        <w:tc>
          <w:tcPr>
            <w:tcW w:w="1911" w:type="dxa"/>
          </w:tcPr>
          <w:p w:rsidR="00E5430E" w:rsidRDefault="00E5430E" w:rsidP="00744FF7">
            <w:pPr>
              <w:autoSpaceDE w:val="0"/>
              <w:autoSpaceDN w:val="0"/>
              <w:adjustRightInd w:val="0"/>
              <w:jc w:val="both"/>
            </w:pPr>
            <w:r>
              <w:t>3 046.0</w:t>
            </w:r>
          </w:p>
        </w:tc>
        <w:tc>
          <w:tcPr>
            <w:tcW w:w="828" w:type="dxa"/>
            <w:gridSpan w:val="2"/>
          </w:tcPr>
          <w:p w:rsidR="00E5430E" w:rsidRDefault="00E5430E" w:rsidP="004E7E27">
            <w:pPr>
              <w:autoSpaceDE w:val="0"/>
              <w:autoSpaceDN w:val="0"/>
              <w:adjustRightInd w:val="0"/>
              <w:jc w:val="center"/>
            </w:pPr>
            <w:r>
              <w:t>2.2</w:t>
            </w:r>
          </w:p>
        </w:tc>
        <w:tc>
          <w:tcPr>
            <w:tcW w:w="708" w:type="dxa"/>
          </w:tcPr>
          <w:p w:rsidR="00E5430E" w:rsidRDefault="00E5430E" w:rsidP="004E7E27">
            <w:pPr>
              <w:autoSpaceDE w:val="0"/>
              <w:autoSpaceDN w:val="0"/>
              <w:adjustRightInd w:val="0"/>
              <w:jc w:val="center"/>
            </w:pPr>
            <w:r>
              <w:t>2.5</w:t>
            </w:r>
          </w:p>
        </w:tc>
        <w:tc>
          <w:tcPr>
            <w:tcW w:w="853" w:type="dxa"/>
            <w:gridSpan w:val="2"/>
          </w:tcPr>
          <w:p w:rsidR="00E5430E" w:rsidRDefault="00E5430E" w:rsidP="004E7E27">
            <w:pPr>
              <w:autoSpaceDE w:val="0"/>
              <w:autoSpaceDN w:val="0"/>
              <w:adjustRightInd w:val="0"/>
              <w:jc w:val="center"/>
            </w:pPr>
            <w:r>
              <w:t>1.6</w:t>
            </w:r>
          </w:p>
        </w:tc>
        <w:tc>
          <w:tcPr>
            <w:tcW w:w="772" w:type="dxa"/>
          </w:tcPr>
          <w:p w:rsidR="00E5430E" w:rsidRDefault="00E5430E" w:rsidP="004E7E27">
            <w:pPr>
              <w:autoSpaceDE w:val="0"/>
              <w:autoSpaceDN w:val="0"/>
              <w:adjustRightInd w:val="0"/>
              <w:jc w:val="center"/>
            </w:pPr>
            <w:r>
              <w:t>1.6</w:t>
            </w:r>
          </w:p>
        </w:tc>
        <w:tc>
          <w:tcPr>
            <w:tcW w:w="789" w:type="dxa"/>
          </w:tcPr>
          <w:p w:rsidR="00E5430E" w:rsidRDefault="00E5430E" w:rsidP="004E7E27">
            <w:pPr>
              <w:autoSpaceDE w:val="0"/>
              <w:autoSpaceDN w:val="0"/>
              <w:adjustRightInd w:val="0"/>
              <w:jc w:val="center"/>
            </w:pPr>
            <w:r>
              <w:t>1.4</w:t>
            </w:r>
          </w:p>
        </w:tc>
      </w:tr>
      <w:tr w:rsidR="004C6176" w:rsidTr="00414A0B">
        <w:tc>
          <w:tcPr>
            <w:tcW w:w="3461" w:type="dxa"/>
          </w:tcPr>
          <w:p w:rsidR="00E5430E" w:rsidRDefault="00E5430E" w:rsidP="00020FAB">
            <w:pPr>
              <w:autoSpaceDE w:val="0"/>
              <w:autoSpaceDN w:val="0"/>
              <w:adjustRightInd w:val="0"/>
              <w:ind w:firstLine="284"/>
              <w:jc w:val="both"/>
            </w:pPr>
            <w:r>
              <w:t>Consommation privée</w:t>
            </w:r>
          </w:p>
        </w:tc>
        <w:tc>
          <w:tcPr>
            <w:tcW w:w="1911" w:type="dxa"/>
          </w:tcPr>
          <w:p w:rsidR="00E5430E" w:rsidRDefault="00E5430E" w:rsidP="006743CB">
            <w:pPr>
              <w:autoSpaceDE w:val="0"/>
              <w:autoSpaceDN w:val="0"/>
              <w:adjustRightInd w:val="0"/>
              <w:ind w:left="792"/>
              <w:jc w:val="both"/>
            </w:pPr>
            <w:r>
              <w:t>1 631.1</w:t>
            </w:r>
          </w:p>
        </w:tc>
        <w:tc>
          <w:tcPr>
            <w:tcW w:w="828" w:type="dxa"/>
            <w:gridSpan w:val="2"/>
          </w:tcPr>
          <w:p w:rsidR="00E5430E" w:rsidRDefault="00E5430E" w:rsidP="004E7E27">
            <w:pPr>
              <w:autoSpaceDE w:val="0"/>
              <w:autoSpaceDN w:val="0"/>
              <w:adjustRightInd w:val="0"/>
              <w:jc w:val="center"/>
            </w:pPr>
            <w:r>
              <w:t>1.9</w:t>
            </w:r>
          </w:p>
        </w:tc>
        <w:tc>
          <w:tcPr>
            <w:tcW w:w="708" w:type="dxa"/>
          </w:tcPr>
          <w:p w:rsidR="00E5430E" w:rsidRDefault="00E5430E" w:rsidP="004E7E27">
            <w:pPr>
              <w:autoSpaceDE w:val="0"/>
              <w:autoSpaceDN w:val="0"/>
              <w:adjustRightInd w:val="0"/>
              <w:jc w:val="center"/>
            </w:pPr>
            <w:r>
              <w:t>2.0</w:t>
            </w:r>
          </w:p>
        </w:tc>
        <w:tc>
          <w:tcPr>
            <w:tcW w:w="853" w:type="dxa"/>
            <w:gridSpan w:val="2"/>
          </w:tcPr>
          <w:p w:rsidR="00E5430E" w:rsidRDefault="00E5430E" w:rsidP="004E7E27">
            <w:pPr>
              <w:autoSpaceDE w:val="0"/>
              <w:autoSpaceDN w:val="0"/>
              <w:adjustRightInd w:val="0"/>
              <w:jc w:val="center"/>
            </w:pPr>
            <w:r>
              <w:t>1.2</w:t>
            </w:r>
          </w:p>
        </w:tc>
        <w:tc>
          <w:tcPr>
            <w:tcW w:w="772" w:type="dxa"/>
          </w:tcPr>
          <w:p w:rsidR="00E5430E" w:rsidRDefault="00E5430E" w:rsidP="004E7E27">
            <w:pPr>
              <w:autoSpaceDE w:val="0"/>
              <w:autoSpaceDN w:val="0"/>
              <w:adjustRightInd w:val="0"/>
              <w:jc w:val="center"/>
            </w:pPr>
            <w:r>
              <w:t>1.8</w:t>
            </w:r>
          </w:p>
        </w:tc>
        <w:tc>
          <w:tcPr>
            <w:tcW w:w="789" w:type="dxa"/>
          </w:tcPr>
          <w:p w:rsidR="00E5430E" w:rsidRDefault="00E5430E" w:rsidP="004E7E27">
            <w:pPr>
              <w:autoSpaceDE w:val="0"/>
              <w:autoSpaceDN w:val="0"/>
              <w:adjustRightInd w:val="0"/>
              <w:jc w:val="center"/>
            </w:pPr>
            <w:r>
              <w:t>1.7</w:t>
            </w:r>
          </w:p>
        </w:tc>
      </w:tr>
      <w:tr w:rsidR="004C6176" w:rsidTr="00414A0B">
        <w:tc>
          <w:tcPr>
            <w:tcW w:w="3461" w:type="dxa"/>
          </w:tcPr>
          <w:p w:rsidR="00E5430E" w:rsidRDefault="00E5430E" w:rsidP="00020FAB">
            <w:pPr>
              <w:autoSpaceDE w:val="0"/>
              <w:autoSpaceDN w:val="0"/>
              <w:adjustRightInd w:val="0"/>
              <w:ind w:firstLine="284"/>
              <w:jc w:val="both"/>
            </w:pPr>
            <w:r>
              <w:t>Consommation publique</w:t>
            </w:r>
          </w:p>
        </w:tc>
        <w:tc>
          <w:tcPr>
            <w:tcW w:w="1911" w:type="dxa"/>
          </w:tcPr>
          <w:p w:rsidR="00E5430E" w:rsidRDefault="006743CB" w:rsidP="006743CB">
            <w:pPr>
              <w:autoSpaceDE w:val="0"/>
              <w:autoSpaceDN w:val="0"/>
              <w:adjustRightInd w:val="0"/>
              <w:ind w:left="792"/>
              <w:jc w:val="both"/>
            </w:pPr>
            <w:r>
              <w:t xml:space="preserve">   </w:t>
            </w:r>
            <w:r w:rsidR="00E5430E">
              <w:t>587.4</w:t>
            </w:r>
          </w:p>
        </w:tc>
        <w:tc>
          <w:tcPr>
            <w:tcW w:w="828" w:type="dxa"/>
            <w:gridSpan w:val="2"/>
          </w:tcPr>
          <w:p w:rsidR="00E5430E" w:rsidRDefault="00E5430E" w:rsidP="004E7E27">
            <w:pPr>
              <w:autoSpaceDE w:val="0"/>
              <w:autoSpaceDN w:val="0"/>
              <w:adjustRightInd w:val="0"/>
              <w:jc w:val="center"/>
            </w:pPr>
            <w:r>
              <w:t>4.0</w:t>
            </w:r>
          </w:p>
        </w:tc>
        <w:tc>
          <w:tcPr>
            <w:tcW w:w="708" w:type="dxa"/>
          </w:tcPr>
          <w:p w:rsidR="00E5430E" w:rsidRDefault="00E5430E" w:rsidP="004E7E27">
            <w:pPr>
              <w:autoSpaceDE w:val="0"/>
              <w:autoSpaceDN w:val="0"/>
              <w:adjustRightInd w:val="0"/>
              <w:jc w:val="center"/>
            </w:pPr>
            <w:r>
              <w:t>1.6</w:t>
            </w:r>
          </w:p>
        </w:tc>
        <w:tc>
          <w:tcPr>
            <w:tcW w:w="853" w:type="dxa"/>
            <w:gridSpan w:val="2"/>
          </w:tcPr>
          <w:p w:rsidR="00E5430E" w:rsidRDefault="00E5430E" w:rsidP="004E7E27">
            <w:pPr>
              <w:autoSpaceDE w:val="0"/>
              <w:autoSpaceDN w:val="0"/>
              <w:adjustRightInd w:val="0"/>
              <w:jc w:val="center"/>
            </w:pPr>
            <w:r>
              <w:t>1.2</w:t>
            </w:r>
          </w:p>
        </w:tc>
        <w:tc>
          <w:tcPr>
            <w:tcW w:w="772" w:type="dxa"/>
          </w:tcPr>
          <w:p w:rsidR="00E5430E" w:rsidRDefault="00E5430E" w:rsidP="004E7E27">
            <w:pPr>
              <w:autoSpaceDE w:val="0"/>
              <w:autoSpaceDN w:val="0"/>
              <w:adjustRightInd w:val="0"/>
              <w:jc w:val="center"/>
            </w:pPr>
            <w:r>
              <w:t>2.5</w:t>
            </w:r>
          </w:p>
        </w:tc>
        <w:tc>
          <w:tcPr>
            <w:tcW w:w="789" w:type="dxa"/>
          </w:tcPr>
          <w:p w:rsidR="00E5430E" w:rsidRDefault="00E5430E" w:rsidP="004E7E27">
            <w:pPr>
              <w:autoSpaceDE w:val="0"/>
              <w:autoSpaceDN w:val="0"/>
              <w:adjustRightInd w:val="0"/>
              <w:jc w:val="center"/>
            </w:pPr>
            <w:r>
              <w:t>1.8</w:t>
            </w:r>
          </w:p>
        </w:tc>
      </w:tr>
      <w:tr w:rsidR="004C6176" w:rsidTr="00414A0B">
        <w:tc>
          <w:tcPr>
            <w:tcW w:w="3461" w:type="dxa"/>
          </w:tcPr>
          <w:p w:rsidR="00E5430E" w:rsidRDefault="00E5430E" w:rsidP="00020FAB">
            <w:pPr>
              <w:autoSpaceDE w:val="0"/>
              <w:autoSpaceDN w:val="0"/>
              <w:adjustRightInd w:val="0"/>
              <w:ind w:firstLine="284"/>
              <w:jc w:val="both"/>
            </w:pPr>
            <w:r>
              <w:t>Formation brute de capital fixe</w:t>
            </w:r>
          </w:p>
        </w:tc>
        <w:tc>
          <w:tcPr>
            <w:tcW w:w="1911" w:type="dxa"/>
          </w:tcPr>
          <w:p w:rsidR="00E5430E" w:rsidRDefault="006743CB" w:rsidP="006743CB">
            <w:pPr>
              <w:autoSpaceDE w:val="0"/>
              <w:autoSpaceDN w:val="0"/>
              <w:adjustRightInd w:val="0"/>
              <w:ind w:left="792"/>
              <w:jc w:val="both"/>
            </w:pPr>
            <w:r>
              <w:t xml:space="preserve">   </w:t>
            </w:r>
            <w:r w:rsidR="00E5430E">
              <w:t>604.1</w:t>
            </w:r>
          </w:p>
        </w:tc>
        <w:tc>
          <w:tcPr>
            <w:tcW w:w="828" w:type="dxa"/>
            <w:gridSpan w:val="2"/>
          </w:tcPr>
          <w:p w:rsidR="00E5430E" w:rsidRDefault="00E5430E" w:rsidP="004E7E27">
            <w:pPr>
              <w:autoSpaceDE w:val="0"/>
              <w:autoSpaceDN w:val="0"/>
              <w:adjustRightInd w:val="0"/>
              <w:jc w:val="center"/>
            </w:pPr>
            <w:r>
              <w:t>3.4</w:t>
            </w:r>
          </w:p>
        </w:tc>
        <w:tc>
          <w:tcPr>
            <w:tcW w:w="708" w:type="dxa"/>
          </w:tcPr>
          <w:p w:rsidR="00E5430E" w:rsidRDefault="00E5430E" w:rsidP="004E7E27">
            <w:pPr>
              <w:autoSpaceDE w:val="0"/>
              <w:autoSpaceDN w:val="0"/>
              <w:adjustRightInd w:val="0"/>
              <w:jc w:val="center"/>
            </w:pPr>
            <w:r>
              <w:t>3.6</w:t>
            </w:r>
          </w:p>
        </w:tc>
        <w:tc>
          <w:tcPr>
            <w:tcW w:w="853" w:type="dxa"/>
            <w:gridSpan w:val="2"/>
          </w:tcPr>
          <w:p w:rsidR="00E5430E" w:rsidRDefault="00E5430E" w:rsidP="004E7E27">
            <w:pPr>
              <w:autoSpaceDE w:val="0"/>
              <w:autoSpaceDN w:val="0"/>
              <w:adjustRightInd w:val="0"/>
              <w:jc w:val="center"/>
            </w:pPr>
            <w:r>
              <w:t>3.0</w:t>
            </w:r>
          </w:p>
        </w:tc>
        <w:tc>
          <w:tcPr>
            <w:tcW w:w="772" w:type="dxa"/>
          </w:tcPr>
          <w:p w:rsidR="00E5430E" w:rsidRDefault="00E5430E" w:rsidP="004E7E27">
            <w:pPr>
              <w:autoSpaceDE w:val="0"/>
              <w:autoSpaceDN w:val="0"/>
              <w:adjustRightInd w:val="0"/>
              <w:jc w:val="center"/>
            </w:pPr>
            <w:r>
              <w:t>2.5</w:t>
            </w:r>
          </w:p>
        </w:tc>
        <w:tc>
          <w:tcPr>
            <w:tcW w:w="789" w:type="dxa"/>
          </w:tcPr>
          <w:p w:rsidR="00E5430E" w:rsidRDefault="00E5430E" w:rsidP="004E7E27">
            <w:pPr>
              <w:autoSpaceDE w:val="0"/>
              <w:autoSpaceDN w:val="0"/>
              <w:adjustRightInd w:val="0"/>
              <w:jc w:val="center"/>
            </w:pPr>
            <w:r>
              <w:t>2.2</w:t>
            </w:r>
          </w:p>
        </w:tc>
      </w:tr>
      <w:tr w:rsidR="004C6176" w:rsidTr="00414A0B">
        <w:tc>
          <w:tcPr>
            <w:tcW w:w="3461" w:type="dxa"/>
          </w:tcPr>
          <w:p w:rsidR="00E5430E" w:rsidRDefault="00E5430E" w:rsidP="00E5430E">
            <w:pPr>
              <w:autoSpaceDE w:val="0"/>
              <w:autoSpaceDN w:val="0"/>
              <w:adjustRightInd w:val="0"/>
              <w:ind w:firstLine="284"/>
              <w:jc w:val="both"/>
            </w:pPr>
            <w:r>
              <w:t>Variation des stocks</w:t>
            </w:r>
            <w:r w:rsidRPr="00E5430E">
              <w:rPr>
                <w:vertAlign w:val="superscript"/>
              </w:rPr>
              <w:t>1</w:t>
            </w:r>
          </w:p>
        </w:tc>
        <w:tc>
          <w:tcPr>
            <w:tcW w:w="1911" w:type="dxa"/>
          </w:tcPr>
          <w:p w:rsidR="00E5430E" w:rsidRDefault="006743CB" w:rsidP="006743CB">
            <w:pPr>
              <w:autoSpaceDE w:val="0"/>
              <w:autoSpaceDN w:val="0"/>
              <w:adjustRightInd w:val="0"/>
              <w:ind w:left="792"/>
              <w:jc w:val="both"/>
            </w:pPr>
            <w:r>
              <w:t xml:space="preserve">    </w:t>
            </w:r>
            <w:r w:rsidR="00E5430E">
              <w:t>-19.6</w:t>
            </w:r>
          </w:p>
        </w:tc>
        <w:tc>
          <w:tcPr>
            <w:tcW w:w="828" w:type="dxa"/>
            <w:gridSpan w:val="2"/>
          </w:tcPr>
          <w:p w:rsidR="00E5430E" w:rsidRDefault="00E5430E" w:rsidP="004E7E27">
            <w:pPr>
              <w:autoSpaceDE w:val="0"/>
              <w:autoSpaceDN w:val="0"/>
              <w:adjustRightInd w:val="0"/>
              <w:jc w:val="center"/>
            </w:pPr>
            <w:r>
              <w:t>0.3</w:t>
            </w:r>
          </w:p>
        </w:tc>
        <w:tc>
          <w:tcPr>
            <w:tcW w:w="708" w:type="dxa"/>
          </w:tcPr>
          <w:p w:rsidR="00E5430E" w:rsidRDefault="00E5430E" w:rsidP="004E7E27">
            <w:pPr>
              <w:autoSpaceDE w:val="0"/>
              <w:autoSpaceDN w:val="0"/>
              <w:adjustRightInd w:val="0"/>
              <w:jc w:val="center"/>
            </w:pPr>
            <w:r>
              <w:t>-0.1</w:t>
            </w:r>
          </w:p>
        </w:tc>
        <w:tc>
          <w:tcPr>
            <w:tcW w:w="853" w:type="dxa"/>
            <w:gridSpan w:val="2"/>
          </w:tcPr>
          <w:p w:rsidR="00E5430E" w:rsidRDefault="00E5430E" w:rsidP="004E7E27">
            <w:pPr>
              <w:autoSpaceDE w:val="0"/>
              <w:autoSpaceDN w:val="0"/>
              <w:adjustRightInd w:val="0"/>
              <w:jc w:val="center"/>
            </w:pPr>
            <w:r>
              <w:t>0.3</w:t>
            </w:r>
          </w:p>
        </w:tc>
        <w:tc>
          <w:tcPr>
            <w:tcW w:w="772" w:type="dxa"/>
          </w:tcPr>
          <w:p w:rsidR="00E5430E" w:rsidRDefault="00E5430E" w:rsidP="004E7E27">
            <w:pPr>
              <w:autoSpaceDE w:val="0"/>
              <w:autoSpaceDN w:val="0"/>
              <w:adjustRightInd w:val="0"/>
              <w:jc w:val="center"/>
            </w:pPr>
            <w:r>
              <w:t>0.1</w:t>
            </w:r>
          </w:p>
        </w:tc>
        <w:tc>
          <w:tcPr>
            <w:tcW w:w="789" w:type="dxa"/>
          </w:tcPr>
          <w:p w:rsidR="00E5430E" w:rsidRDefault="00E5430E" w:rsidP="004E7E27">
            <w:pPr>
              <w:autoSpaceDE w:val="0"/>
              <w:autoSpaceDN w:val="0"/>
              <w:adjustRightInd w:val="0"/>
              <w:jc w:val="center"/>
            </w:pPr>
            <w:r>
              <w:t>0.0</w:t>
            </w:r>
          </w:p>
        </w:tc>
      </w:tr>
      <w:tr w:rsidR="004C6176" w:rsidTr="00414A0B">
        <w:tc>
          <w:tcPr>
            <w:tcW w:w="3461" w:type="dxa"/>
          </w:tcPr>
          <w:p w:rsidR="00E5430E" w:rsidRDefault="00E5430E" w:rsidP="00020FAB">
            <w:pPr>
              <w:autoSpaceDE w:val="0"/>
              <w:autoSpaceDN w:val="0"/>
              <w:adjustRightInd w:val="0"/>
              <w:ind w:firstLine="284"/>
              <w:jc w:val="both"/>
            </w:pPr>
            <w:r>
              <w:t>Demande intérieure totale</w:t>
            </w:r>
          </w:p>
        </w:tc>
        <w:tc>
          <w:tcPr>
            <w:tcW w:w="1911" w:type="dxa"/>
          </w:tcPr>
          <w:p w:rsidR="00E5430E" w:rsidRDefault="00E5430E" w:rsidP="006743CB">
            <w:pPr>
              <w:autoSpaceDE w:val="0"/>
              <w:autoSpaceDN w:val="0"/>
              <w:adjustRightInd w:val="0"/>
              <w:ind w:left="792"/>
              <w:jc w:val="both"/>
            </w:pPr>
            <w:r>
              <w:t>2 803.0</w:t>
            </w:r>
          </w:p>
        </w:tc>
        <w:tc>
          <w:tcPr>
            <w:tcW w:w="828" w:type="dxa"/>
            <w:gridSpan w:val="2"/>
          </w:tcPr>
          <w:p w:rsidR="00E5430E" w:rsidRDefault="00E5430E" w:rsidP="004E7E27">
            <w:pPr>
              <w:autoSpaceDE w:val="0"/>
              <w:autoSpaceDN w:val="0"/>
              <w:adjustRightInd w:val="0"/>
              <w:jc w:val="center"/>
            </w:pPr>
            <w:r>
              <w:t>2.9</w:t>
            </w:r>
          </w:p>
        </w:tc>
        <w:tc>
          <w:tcPr>
            <w:tcW w:w="708" w:type="dxa"/>
          </w:tcPr>
          <w:p w:rsidR="00E5430E" w:rsidRDefault="00E5430E" w:rsidP="004E7E27">
            <w:pPr>
              <w:autoSpaceDE w:val="0"/>
              <w:autoSpaceDN w:val="0"/>
              <w:adjustRightInd w:val="0"/>
              <w:jc w:val="center"/>
            </w:pPr>
            <w:r>
              <w:t>2.2</w:t>
            </w:r>
          </w:p>
        </w:tc>
        <w:tc>
          <w:tcPr>
            <w:tcW w:w="853" w:type="dxa"/>
            <w:gridSpan w:val="2"/>
          </w:tcPr>
          <w:p w:rsidR="00E5430E" w:rsidRDefault="00E5430E" w:rsidP="004E7E27">
            <w:pPr>
              <w:autoSpaceDE w:val="0"/>
              <w:autoSpaceDN w:val="0"/>
              <w:adjustRightInd w:val="0"/>
              <w:jc w:val="center"/>
            </w:pPr>
            <w:r>
              <w:t>2.0</w:t>
            </w:r>
          </w:p>
        </w:tc>
        <w:tc>
          <w:tcPr>
            <w:tcW w:w="772" w:type="dxa"/>
          </w:tcPr>
          <w:p w:rsidR="00E5430E" w:rsidRDefault="00E5430E" w:rsidP="004E7E27">
            <w:pPr>
              <w:autoSpaceDE w:val="0"/>
              <w:autoSpaceDN w:val="0"/>
              <w:adjustRightInd w:val="0"/>
              <w:jc w:val="center"/>
            </w:pPr>
            <w:r>
              <w:t>2.2</w:t>
            </w:r>
          </w:p>
        </w:tc>
        <w:tc>
          <w:tcPr>
            <w:tcW w:w="789" w:type="dxa"/>
          </w:tcPr>
          <w:p w:rsidR="00E5430E" w:rsidRDefault="00E5430E" w:rsidP="004E7E27">
            <w:pPr>
              <w:autoSpaceDE w:val="0"/>
              <w:autoSpaceDN w:val="0"/>
              <w:adjustRightInd w:val="0"/>
              <w:jc w:val="center"/>
            </w:pPr>
            <w:r>
              <w:t>1.8</w:t>
            </w:r>
          </w:p>
        </w:tc>
      </w:tr>
      <w:tr w:rsidR="004C6176" w:rsidTr="00414A0B">
        <w:tc>
          <w:tcPr>
            <w:tcW w:w="3461" w:type="dxa"/>
          </w:tcPr>
          <w:p w:rsidR="00E5430E" w:rsidRDefault="00E5430E" w:rsidP="00020FAB">
            <w:pPr>
              <w:autoSpaceDE w:val="0"/>
              <w:autoSpaceDN w:val="0"/>
              <w:adjustRightInd w:val="0"/>
              <w:ind w:firstLine="284"/>
              <w:jc w:val="both"/>
            </w:pPr>
            <w:r>
              <w:t>Exportations de biens et services</w:t>
            </w:r>
          </w:p>
        </w:tc>
        <w:tc>
          <w:tcPr>
            <w:tcW w:w="1911" w:type="dxa"/>
          </w:tcPr>
          <w:p w:rsidR="00E5430E" w:rsidRDefault="00E5430E" w:rsidP="006743CB">
            <w:pPr>
              <w:autoSpaceDE w:val="0"/>
              <w:autoSpaceDN w:val="0"/>
              <w:adjustRightInd w:val="0"/>
              <w:ind w:left="792"/>
              <w:jc w:val="both"/>
            </w:pPr>
            <w:r>
              <w:t>1 425.3</w:t>
            </w:r>
          </w:p>
        </w:tc>
        <w:tc>
          <w:tcPr>
            <w:tcW w:w="828" w:type="dxa"/>
            <w:gridSpan w:val="2"/>
          </w:tcPr>
          <w:p w:rsidR="00E5430E" w:rsidRDefault="00E5430E" w:rsidP="004E7E27">
            <w:pPr>
              <w:autoSpaceDE w:val="0"/>
              <w:autoSpaceDN w:val="0"/>
              <w:adjustRightInd w:val="0"/>
              <w:jc w:val="center"/>
            </w:pPr>
            <w:r>
              <w:t>2.1</w:t>
            </w:r>
          </w:p>
        </w:tc>
        <w:tc>
          <w:tcPr>
            <w:tcW w:w="708" w:type="dxa"/>
          </w:tcPr>
          <w:p w:rsidR="00E5430E" w:rsidRDefault="00E5430E" w:rsidP="004E7E27">
            <w:pPr>
              <w:autoSpaceDE w:val="0"/>
              <w:autoSpaceDN w:val="0"/>
              <w:adjustRightInd w:val="0"/>
              <w:jc w:val="center"/>
            </w:pPr>
            <w:r>
              <w:t>5.3</w:t>
            </w:r>
          </w:p>
        </w:tc>
        <w:tc>
          <w:tcPr>
            <w:tcW w:w="853" w:type="dxa"/>
            <w:gridSpan w:val="2"/>
          </w:tcPr>
          <w:p w:rsidR="00E5430E" w:rsidRDefault="00E5430E" w:rsidP="004E7E27">
            <w:pPr>
              <w:autoSpaceDE w:val="0"/>
              <w:autoSpaceDN w:val="0"/>
              <w:adjustRightInd w:val="0"/>
              <w:jc w:val="center"/>
            </w:pPr>
            <w:r>
              <w:t>2.5</w:t>
            </w:r>
          </w:p>
        </w:tc>
        <w:tc>
          <w:tcPr>
            <w:tcW w:w="772" w:type="dxa"/>
          </w:tcPr>
          <w:p w:rsidR="00E5430E" w:rsidRDefault="00E5430E" w:rsidP="004E7E27">
            <w:pPr>
              <w:autoSpaceDE w:val="0"/>
              <w:autoSpaceDN w:val="0"/>
              <w:adjustRightInd w:val="0"/>
              <w:jc w:val="center"/>
            </w:pPr>
            <w:r>
              <w:t>2.9</w:t>
            </w:r>
          </w:p>
        </w:tc>
        <w:tc>
          <w:tcPr>
            <w:tcW w:w="789" w:type="dxa"/>
          </w:tcPr>
          <w:p w:rsidR="00E5430E" w:rsidRDefault="00E5430E" w:rsidP="004E7E27">
            <w:pPr>
              <w:autoSpaceDE w:val="0"/>
              <w:autoSpaceDN w:val="0"/>
              <w:adjustRightInd w:val="0"/>
              <w:jc w:val="center"/>
            </w:pPr>
            <w:r>
              <w:t>3.2</w:t>
            </w:r>
          </w:p>
        </w:tc>
      </w:tr>
      <w:tr w:rsidR="004C6176" w:rsidTr="00414A0B">
        <w:tc>
          <w:tcPr>
            <w:tcW w:w="3461" w:type="dxa"/>
          </w:tcPr>
          <w:p w:rsidR="00E5430E" w:rsidRDefault="00E5430E" w:rsidP="00020FAB">
            <w:pPr>
              <w:autoSpaceDE w:val="0"/>
              <w:autoSpaceDN w:val="0"/>
              <w:adjustRightInd w:val="0"/>
              <w:ind w:firstLine="284"/>
              <w:jc w:val="both"/>
            </w:pPr>
            <w:r>
              <w:t>Importations de biens et services</w:t>
            </w:r>
          </w:p>
        </w:tc>
        <w:tc>
          <w:tcPr>
            <w:tcW w:w="1911" w:type="dxa"/>
          </w:tcPr>
          <w:p w:rsidR="00E5430E" w:rsidRDefault="00E5430E" w:rsidP="006743CB">
            <w:pPr>
              <w:autoSpaceDE w:val="0"/>
              <w:autoSpaceDN w:val="0"/>
              <w:adjustRightInd w:val="0"/>
              <w:ind w:left="792"/>
              <w:jc w:val="both"/>
            </w:pPr>
            <w:r>
              <w:t>1 182.3</w:t>
            </w:r>
          </w:p>
        </w:tc>
        <w:tc>
          <w:tcPr>
            <w:tcW w:w="828" w:type="dxa"/>
            <w:gridSpan w:val="2"/>
          </w:tcPr>
          <w:p w:rsidR="00E5430E" w:rsidRDefault="00E5430E" w:rsidP="004E7E27">
            <w:pPr>
              <w:autoSpaceDE w:val="0"/>
              <w:autoSpaceDN w:val="0"/>
              <w:adjustRightInd w:val="0"/>
              <w:jc w:val="center"/>
            </w:pPr>
            <w:r>
              <w:t>4.0</w:t>
            </w:r>
          </w:p>
        </w:tc>
        <w:tc>
          <w:tcPr>
            <w:tcW w:w="708" w:type="dxa"/>
          </w:tcPr>
          <w:p w:rsidR="00E5430E" w:rsidRDefault="00E5430E" w:rsidP="004E7E27">
            <w:pPr>
              <w:autoSpaceDE w:val="0"/>
              <w:autoSpaceDN w:val="0"/>
              <w:adjustRightInd w:val="0"/>
              <w:jc w:val="center"/>
            </w:pPr>
            <w:r>
              <w:t>5.3</w:t>
            </w:r>
          </w:p>
        </w:tc>
        <w:tc>
          <w:tcPr>
            <w:tcW w:w="853" w:type="dxa"/>
            <w:gridSpan w:val="2"/>
          </w:tcPr>
          <w:p w:rsidR="00E5430E" w:rsidRDefault="00E5430E" w:rsidP="004E7E27">
            <w:pPr>
              <w:autoSpaceDE w:val="0"/>
              <w:autoSpaceDN w:val="0"/>
              <w:adjustRightInd w:val="0"/>
              <w:jc w:val="center"/>
            </w:pPr>
            <w:r>
              <w:t>3.6</w:t>
            </w:r>
          </w:p>
        </w:tc>
        <w:tc>
          <w:tcPr>
            <w:tcW w:w="772" w:type="dxa"/>
          </w:tcPr>
          <w:p w:rsidR="00E5430E" w:rsidRDefault="00E5430E" w:rsidP="004E7E27">
            <w:pPr>
              <w:autoSpaceDE w:val="0"/>
              <w:autoSpaceDN w:val="0"/>
              <w:adjustRightInd w:val="0"/>
              <w:jc w:val="center"/>
            </w:pPr>
            <w:r>
              <w:t>4.4</w:t>
            </w:r>
          </w:p>
        </w:tc>
        <w:tc>
          <w:tcPr>
            <w:tcW w:w="789" w:type="dxa"/>
          </w:tcPr>
          <w:p w:rsidR="00E5430E" w:rsidRDefault="00E5430E" w:rsidP="004E7E27">
            <w:pPr>
              <w:autoSpaceDE w:val="0"/>
              <w:autoSpaceDN w:val="0"/>
              <w:adjustRightInd w:val="0"/>
              <w:jc w:val="center"/>
            </w:pPr>
            <w:r>
              <w:t>4.4</w:t>
            </w:r>
          </w:p>
        </w:tc>
      </w:tr>
      <w:tr w:rsidR="004C6176" w:rsidTr="00414A0B">
        <w:tc>
          <w:tcPr>
            <w:tcW w:w="3461" w:type="dxa"/>
            <w:tcBorders>
              <w:bottom w:val="single" w:sz="4" w:space="0" w:color="auto"/>
            </w:tcBorders>
          </w:tcPr>
          <w:p w:rsidR="00E5430E" w:rsidRDefault="00E5430E" w:rsidP="00E5430E">
            <w:pPr>
              <w:autoSpaceDE w:val="0"/>
              <w:autoSpaceDN w:val="0"/>
              <w:adjustRightInd w:val="0"/>
              <w:ind w:firstLine="567"/>
              <w:jc w:val="both"/>
            </w:pPr>
            <w:r>
              <w:t>Exportations nettes</w:t>
            </w:r>
            <w:r w:rsidRPr="00E5430E">
              <w:rPr>
                <w:vertAlign w:val="superscript"/>
              </w:rPr>
              <w:t>1</w:t>
            </w:r>
          </w:p>
        </w:tc>
        <w:tc>
          <w:tcPr>
            <w:tcW w:w="1911" w:type="dxa"/>
            <w:tcBorders>
              <w:bottom w:val="single" w:sz="4" w:space="0" w:color="auto"/>
            </w:tcBorders>
          </w:tcPr>
          <w:p w:rsidR="00E5430E" w:rsidRDefault="006743CB" w:rsidP="006743CB">
            <w:pPr>
              <w:autoSpaceDE w:val="0"/>
              <w:autoSpaceDN w:val="0"/>
              <w:adjustRightInd w:val="0"/>
              <w:ind w:left="792"/>
              <w:jc w:val="both"/>
            </w:pPr>
            <w:r>
              <w:t xml:space="preserve">   </w:t>
            </w:r>
            <w:r w:rsidR="00E5430E">
              <w:t>243.0</w:t>
            </w:r>
          </w:p>
        </w:tc>
        <w:tc>
          <w:tcPr>
            <w:tcW w:w="828" w:type="dxa"/>
            <w:gridSpan w:val="2"/>
            <w:tcBorders>
              <w:bottom w:val="single" w:sz="4" w:space="0" w:color="auto"/>
            </w:tcBorders>
          </w:tcPr>
          <w:p w:rsidR="00E5430E" w:rsidRDefault="00E5430E" w:rsidP="004E7E27">
            <w:pPr>
              <w:autoSpaceDE w:val="0"/>
              <w:autoSpaceDN w:val="0"/>
              <w:adjustRightInd w:val="0"/>
              <w:jc w:val="center"/>
            </w:pPr>
            <w:r>
              <w:t>-0.5</w:t>
            </w:r>
          </w:p>
        </w:tc>
        <w:tc>
          <w:tcPr>
            <w:tcW w:w="708" w:type="dxa"/>
            <w:tcBorders>
              <w:bottom w:val="single" w:sz="4" w:space="0" w:color="auto"/>
            </w:tcBorders>
          </w:tcPr>
          <w:p w:rsidR="00E5430E" w:rsidRDefault="00E5430E" w:rsidP="004E7E27">
            <w:pPr>
              <w:autoSpaceDE w:val="0"/>
              <w:autoSpaceDN w:val="0"/>
              <w:adjustRightInd w:val="0"/>
              <w:jc w:val="center"/>
            </w:pPr>
            <w:r>
              <w:t>0.4</w:t>
            </w:r>
          </w:p>
        </w:tc>
        <w:tc>
          <w:tcPr>
            <w:tcW w:w="853" w:type="dxa"/>
            <w:gridSpan w:val="2"/>
            <w:tcBorders>
              <w:bottom w:val="single" w:sz="4" w:space="0" w:color="auto"/>
            </w:tcBorders>
          </w:tcPr>
          <w:p w:rsidR="00E5430E" w:rsidRDefault="00E5430E" w:rsidP="004E7E27">
            <w:pPr>
              <w:autoSpaceDE w:val="0"/>
              <w:autoSpaceDN w:val="0"/>
              <w:adjustRightInd w:val="0"/>
              <w:jc w:val="center"/>
            </w:pPr>
            <w:r>
              <w:t>-0.2</w:t>
            </w:r>
          </w:p>
        </w:tc>
        <w:tc>
          <w:tcPr>
            <w:tcW w:w="772" w:type="dxa"/>
            <w:tcBorders>
              <w:bottom w:val="single" w:sz="4" w:space="0" w:color="auto"/>
            </w:tcBorders>
          </w:tcPr>
          <w:p w:rsidR="00E5430E" w:rsidRDefault="00E5430E" w:rsidP="004E7E27">
            <w:pPr>
              <w:autoSpaceDE w:val="0"/>
              <w:autoSpaceDN w:val="0"/>
              <w:adjustRightInd w:val="0"/>
              <w:jc w:val="center"/>
            </w:pPr>
            <w:r>
              <w:t>-0.4</w:t>
            </w:r>
          </w:p>
        </w:tc>
        <w:tc>
          <w:tcPr>
            <w:tcW w:w="789" w:type="dxa"/>
            <w:tcBorders>
              <w:bottom w:val="single" w:sz="4" w:space="0" w:color="auto"/>
            </w:tcBorders>
          </w:tcPr>
          <w:p w:rsidR="00E5430E" w:rsidRDefault="00E5430E" w:rsidP="004E7E27">
            <w:pPr>
              <w:autoSpaceDE w:val="0"/>
              <w:autoSpaceDN w:val="0"/>
              <w:adjustRightInd w:val="0"/>
              <w:jc w:val="center"/>
            </w:pPr>
            <w:r>
              <w:t>-0.3</w:t>
            </w:r>
          </w:p>
        </w:tc>
      </w:tr>
      <w:tr w:rsidR="00414A0B" w:rsidTr="00414A0B">
        <w:tc>
          <w:tcPr>
            <w:tcW w:w="3461" w:type="dxa"/>
            <w:tcBorders>
              <w:left w:val="nil"/>
              <w:right w:val="nil"/>
            </w:tcBorders>
          </w:tcPr>
          <w:p w:rsidR="00414A0B" w:rsidRDefault="00414A0B" w:rsidP="00E5430E">
            <w:pPr>
              <w:autoSpaceDE w:val="0"/>
              <w:autoSpaceDN w:val="0"/>
              <w:adjustRightInd w:val="0"/>
              <w:ind w:firstLine="567"/>
              <w:jc w:val="both"/>
            </w:pPr>
          </w:p>
        </w:tc>
        <w:tc>
          <w:tcPr>
            <w:tcW w:w="1911" w:type="dxa"/>
            <w:tcBorders>
              <w:left w:val="nil"/>
              <w:right w:val="nil"/>
            </w:tcBorders>
          </w:tcPr>
          <w:p w:rsidR="00414A0B" w:rsidRDefault="00414A0B" w:rsidP="006743CB">
            <w:pPr>
              <w:autoSpaceDE w:val="0"/>
              <w:autoSpaceDN w:val="0"/>
              <w:adjustRightInd w:val="0"/>
              <w:ind w:left="792"/>
              <w:jc w:val="both"/>
            </w:pPr>
          </w:p>
        </w:tc>
        <w:tc>
          <w:tcPr>
            <w:tcW w:w="828" w:type="dxa"/>
            <w:gridSpan w:val="2"/>
            <w:tcBorders>
              <w:left w:val="nil"/>
              <w:right w:val="nil"/>
            </w:tcBorders>
          </w:tcPr>
          <w:p w:rsidR="00414A0B" w:rsidRDefault="00414A0B" w:rsidP="004E7E27">
            <w:pPr>
              <w:autoSpaceDE w:val="0"/>
              <w:autoSpaceDN w:val="0"/>
              <w:adjustRightInd w:val="0"/>
              <w:jc w:val="center"/>
            </w:pPr>
          </w:p>
        </w:tc>
        <w:tc>
          <w:tcPr>
            <w:tcW w:w="708" w:type="dxa"/>
            <w:tcBorders>
              <w:left w:val="nil"/>
              <w:right w:val="nil"/>
            </w:tcBorders>
          </w:tcPr>
          <w:p w:rsidR="00414A0B" w:rsidRDefault="00414A0B" w:rsidP="004E7E27">
            <w:pPr>
              <w:autoSpaceDE w:val="0"/>
              <w:autoSpaceDN w:val="0"/>
              <w:adjustRightInd w:val="0"/>
              <w:jc w:val="center"/>
            </w:pPr>
          </w:p>
        </w:tc>
        <w:tc>
          <w:tcPr>
            <w:tcW w:w="853" w:type="dxa"/>
            <w:gridSpan w:val="2"/>
            <w:tcBorders>
              <w:left w:val="nil"/>
              <w:right w:val="nil"/>
            </w:tcBorders>
          </w:tcPr>
          <w:p w:rsidR="00414A0B" w:rsidRDefault="00414A0B" w:rsidP="004E7E27">
            <w:pPr>
              <w:autoSpaceDE w:val="0"/>
              <w:autoSpaceDN w:val="0"/>
              <w:adjustRightInd w:val="0"/>
              <w:jc w:val="center"/>
            </w:pPr>
          </w:p>
        </w:tc>
        <w:tc>
          <w:tcPr>
            <w:tcW w:w="772" w:type="dxa"/>
            <w:tcBorders>
              <w:left w:val="nil"/>
              <w:right w:val="nil"/>
            </w:tcBorders>
          </w:tcPr>
          <w:p w:rsidR="00414A0B" w:rsidRDefault="00414A0B" w:rsidP="004E7E27">
            <w:pPr>
              <w:autoSpaceDE w:val="0"/>
              <w:autoSpaceDN w:val="0"/>
              <w:adjustRightInd w:val="0"/>
              <w:jc w:val="center"/>
            </w:pPr>
          </w:p>
        </w:tc>
        <w:tc>
          <w:tcPr>
            <w:tcW w:w="789" w:type="dxa"/>
            <w:tcBorders>
              <w:left w:val="nil"/>
              <w:right w:val="nil"/>
            </w:tcBorders>
          </w:tcPr>
          <w:p w:rsidR="00414A0B" w:rsidRDefault="00414A0B" w:rsidP="004E7E27">
            <w:pPr>
              <w:autoSpaceDE w:val="0"/>
              <w:autoSpaceDN w:val="0"/>
              <w:adjustRightInd w:val="0"/>
              <w:jc w:val="center"/>
            </w:pPr>
          </w:p>
        </w:tc>
      </w:tr>
      <w:tr w:rsidR="00414A0B" w:rsidTr="00414A0B">
        <w:tc>
          <w:tcPr>
            <w:tcW w:w="5372" w:type="dxa"/>
            <w:gridSpan w:val="2"/>
          </w:tcPr>
          <w:p w:rsidR="00414A0B" w:rsidRDefault="00414A0B" w:rsidP="00744FF7">
            <w:pPr>
              <w:autoSpaceDE w:val="0"/>
              <w:autoSpaceDN w:val="0"/>
              <w:adjustRightInd w:val="0"/>
              <w:jc w:val="both"/>
            </w:pPr>
            <w:r w:rsidRPr="00020FAB">
              <w:rPr>
                <w:b/>
              </w:rPr>
              <w:t>Pour mémoire</w:t>
            </w:r>
          </w:p>
        </w:tc>
        <w:tc>
          <w:tcPr>
            <w:tcW w:w="828" w:type="dxa"/>
            <w:gridSpan w:val="2"/>
          </w:tcPr>
          <w:p w:rsidR="00414A0B" w:rsidRDefault="00414A0B" w:rsidP="004E7E27">
            <w:pPr>
              <w:autoSpaceDE w:val="0"/>
              <w:autoSpaceDN w:val="0"/>
              <w:adjustRightInd w:val="0"/>
              <w:jc w:val="center"/>
            </w:pPr>
            <w:r>
              <w:t>2016</w:t>
            </w:r>
          </w:p>
        </w:tc>
        <w:tc>
          <w:tcPr>
            <w:tcW w:w="708" w:type="dxa"/>
          </w:tcPr>
          <w:p w:rsidR="00414A0B" w:rsidRDefault="00414A0B" w:rsidP="004E7E27">
            <w:pPr>
              <w:autoSpaceDE w:val="0"/>
              <w:autoSpaceDN w:val="0"/>
              <w:adjustRightInd w:val="0"/>
              <w:jc w:val="center"/>
            </w:pPr>
            <w:r>
              <w:t>2017</w:t>
            </w:r>
          </w:p>
        </w:tc>
        <w:tc>
          <w:tcPr>
            <w:tcW w:w="853" w:type="dxa"/>
            <w:gridSpan w:val="2"/>
          </w:tcPr>
          <w:p w:rsidR="00414A0B" w:rsidRPr="00965E84" w:rsidRDefault="00414A0B" w:rsidP="009253A0">
            <w:pPr>
              <w:autoSpaceDE w:val="0"/>
              <w:autoSpaceDN w:val="0"/>
              <w:adjustRightInd w:val="0"/>
              <w:jc w:val="center"/>
              <w:rPr>
                <w:vertAlign w:val="superscript"/>
              </w:rPr>
            </w:pPr>
            <w:r>
              <w:t>2018</w:t>
            </w:r>
            <w:r>
              <w:rPr>
                <w:vertAlign w:val="superscript"/>
              </w:rPr>
              <w:t>2</w:t>
            </w:r>
          </w:p>
        </w:tc>
        <w:tc>
          <w:tcPr>
            <w:tcW w:w="772" w:type="dxa"/>
          </w:tcPr>
          <w:p w:rsidR="00414A0B" w:rsidRPr="00965E84" w:rsidRDefault="00414A0B" w:rsidP="009253A0">
            <w:pPr>
              <w:autoSpaceDE w:val="0"/>
              <w:autoSpaceDN w:val="0"/>
              <w:adjustRightInd w:val="0"/>
              <w:jc w:val="center"/>
              <w:rPr>
                <w:vertAlign w:val="superscript"/>
              </w:rPr>
            </w:pPr>
            <w:r w:rsidRPr="00E5430E">
              <w:t>2019</w:t>
            </w:r>
            <w:r>
              <w:rPr>
                <w:vertAlign w:val="superscript"/>
              </w:rPr>
              <w:t>2</w:t>
            </w:r>
          </w:p>
        </w:tc>
        <w:tc>
          <w:tcPr>
            <w:tcW w:w="789" w:type="dxa"/>
          </w:tcPr>
          <w:p w:rsidR="00414A0B" w:rsidRPr="00965E84" w:rsidRDefault="00414A0B" w:rsidP="009253A0">
            <w:pPr>
              <w:autoSpaceDE w:val="0"/>
              <w:autoSpaceDN w:val="0"/>
              <w:adjustRightInd w:val="0"/>
              <w:jc w:val="center"/>
              <w:rPr>
                <w:vertAlign w:val="superscript"/>
              </w:rPr>
            </w:pPr>
            <w:r>
              <w:t>2020</w:t>
            </w:r>
            <w:r>
              <w:rPr>
                <w:vertAlign w:val="superscript"/>
              </w:rPr>
              <w:t>2</w:t>
            </w:r>
          </w:p>
        </w:tc>
      </w:tr>
      <w:tr w:rsidR="004C6176" w:rsidTr="00414A0B">
        <w:tc>
          <w:tcPr>
            <w:tcW w:w="5372" w:type="dxa"/>
            <w:gridSpan w:val="2"/>
          </w:tcPr>
          <w:p w:rsidR="00E5430E" w:rsidRDefault="00E5430E" w:rsidP="00744FF7">
            <w:pPr>
              <w:autoSpaceDE w:val="0"/>
              <w:autoSpaceDN w:val="0"/>
              <w:adjustRightInd w:val="0"/>
              <w:jc w:val="both"/>
            </w:pPr>
            <w:r>
              <w:t>Taux de chômage (% de la population active)</w:t>
            </w:r>
          </w:p>
        </w:tc>
        <w:tc>
          <w:tcPr>
            <w:tcW w:w="828" w:type="dxa"/>
            <w:gridSpan w:val="2"/>
          </w:tcPr>
          <w:p w:rsidR="00E5430E" w:rsidRDefault="004C6176" w:rsidP="004E7E27">
            <w:pPr>
              <w:autoSpaceDE w:val="0"/>
              <w:autoSpaceDN w:val="0"/>
              <w:adjustRightInd w:val="0"/>
              <w:jc w:val="center"/>
            </w:pPr>
            <w:r>
              <w:t>4.2</w:t>
            </w:r>
          </w:p>
        </w:tc>
        <w:tc>
          <w:tcPr>
            <w:tcW w:w="708" w:type="dxa"/>
          </w:tcPr>
          <w:p w:rsidR="00E5430E" w:rsidRDefault="004C6176" w:rsidP="004E7E27">
            <w:pPr>
              <w:autoSpaceDE w:val="0"/>
              <w:autoSpaceDN w:val="0"/>
              <w:adjustRightInd w:val="0"/>
              <w:jc w:val="center"/>
            </w:pPr>
            <w:r>
              <w:t>3.8</w:t>
            </w:r>
          </w:p>
        </w:tc>
        <w:tc>
          <w:tcPr>
            <w:tcW w:w="853" w:type="dxa"/>
            <w:gridSpan w:val="2"/>
          </w:tcPr>
          <w:p w:rsidR="00E5430E" w:rsidRDefault="004C6176" w:rsidP="004E7E27">
            <w:pPr>
              <w:autoSpaceDE w:val="0"/>
              <w:autoSpaceDN w:val="0"/>
              <w:adjustRightInd w:val="0"/>
              <w:jc w:val="center"/>
            </w:pPr>
            <w:r>
              <w:t>3.4</w:t>
            </w:r>
          </w:p>
        </w:tc>
        <w:tc>
          <w:tcPr>
            <w:tcW w:w="772" w:type="dxa"/>
          </w:tcPr>
          <w:p w:rsidR="00E5430E" w:rsidRDefault="004C6176" w:rsidP="004E7E27">
            <w:pPr>
              <w:autoSpaceDE w:val="0"/>
              <w:autoSpaceDN w:val="0"/>
              <w:adjustRightInd w:val="0"/>
              <w:jc w:val="center"/>
            </w:pPr>
            <w:r>
              <w:t>3.0</w:t>
            </w:r>
          </w:p>
        </w:tc>
        <w:tc>
          <w:tcPr>
            <w:tcW w:w="789" w:type="dxa"/>
          </w:tcPr>
          <w:p w:rsidR="00E5430E" w:rsidRDefault="004C6176" w:rsidP="004E7E27">
            <w:pPr>
              <w:autoSpaceDE w:val="0"/>
              <w:autoSpaceDN w:val="0"/>
              <w:adjustRightInd w:val="0"/>
              <w:jc w:val="center"/>
            </w:pPr>
            <w:r>
              <w:t>2.7</w:t>
            </w:r>
          </w:p>
        </w:tc>
      </w:tr>
      <w:tr w:rsidR="004C6176" w:rsidTr="00414A0B">
        <w:tc>
          <w:tcPr>
            <w:tcW w:w="5372" w:type="dxa"/>
            <w:gridSpan w:val="2"/>
          </w:tcPr>
          <w:p w:rsidR="00E5430E" w:rsidRDefault="00E5430E" w:rsidP="00744FF7">
            <w:pPr>
              <w:autoSpaceDE w:val="0"/>
              <w:autoSpaceDN w:val="0"/>
              <w:adjustRightInd w:val="0"/>
              <w:jc w:val="both"/>
            </w:pPr>
            <w:r>
              <w:t>Solde financier des administrations publiques (% du PIB)</w:t>
            </w:r>
          </w:p>
        </w:tc>
        <w:tc>
          <w:tcPr>
            <w:tcW w:w="828" w:type="dxa"/>
            <w:gridSpan w:val="2"/>
          </w:tcPr>
          <w:p w:rsidR="00E5430E" w:rsidRDefault="004C6176" w:rsidP="004E7E27">
            <w:pPr>
              <w:autoSpaceDE w:val="0"/>
              <w:autoSpaceDN w:val="0"/>
              <w:adjustRightInd w:val="0"/>
              <w:jc w:val="center"/>
            </w:pPr>
            <w:r>
              <w:t>0.9</w:t>
            </w:r>
          </w:p>
        </w:tc>
        <w:tc>
          <w:tcPr>
            <w:tcW w:w="708" w:type="dxa"/>
          </w:tcPr>
          <w:p w:rsidR="00E5430E" w:rsidRDefault="004C6176" w:rsidP="004E7E27">
            <w:pPr>
              <w:autoSpaceDE w:val="0"/>
              <w:autoSpaceDN w:val="0"/>
              <w:adjustRightInd w:val="0"/>
              <w:jc w:val="center"/>
            </w:pPr>
            <w:r>
              <w:t>1.0</w:t>
            </w:r>
          </w:p>
        </w:tc>
        <w:tc>
          <w:tcPr>
            <w:tcW w:w="853" w:type="dxa"/>
            <w:gridSpan w:val="2"/>
          </w:tcPr>
          <w:p w:rsidR="00E5430E" w:rsidRDefault="004C6176" w:rsidP="004E7E27">
            <w:pPr>
              <w:autoSpaceDE w:val="0"/>
              <w:autoSpaceDN w:val="0"/>
              <w:adjustRightInd w:val="0"/>
              <w:jc w:val="center"/>
            </w:pPr>
            <w:r>
              <w:t>1.6</w:t>
            </w:r>
          </w:p>
        </w:tc>
        <w:tc>
          <w:tcPr>
            <w:tcW w:w="772" w:type="dxa"/>
          </w:tcPr>
          <w:p w:rsidR="00E5430E" w:rsidRDefault="004C6176" w:rsidP="004E7E27">
            <w:pPr>
              <w:autoSpaceDE w:val="0"/>
              <w:autoSpaceDN w:val="0"/>
              <w:adjustRightInd w:val="0"/>
              <w:jc w:val="center"/>
            </w:pPr>
            <w:r>
              <w:t>1.1</w:t>
            </w:r>
          </w:p>
        </w:tc>
        <w:tc>
          <w:tcPr>
            <w:tcW w:w="789" w:type="dxa"/>
          </w:tcPr>
          <w:p w:rsidR="00E5430E" w:rsidRDefault="004C6176" w:rsidP="004E7E27">
            <w:pPr>
              <w:autoSpaceDE w:val="0"/>
              <w:autoSpaceDN w:val="0"/>
              <w:adjustRightInd w:val="0"/>
              <w:jc w:val="center"/>
            </w:pPr>
            <w:r>
              <w:t>1.0</w:t>
            </w:r>
          </w:p>
        </w:tc>
      </w:tr>
      <w:tr w:rsidR="004C6176" w:rsidTr="00414A0B">
        <w:tc>
          <w:tcPr>
            <w:tcW w:w="5372" w:type="dxa"/>
            <w:gridSpan w:val="2"/>
          </w:tcPr>
          <w:p w:rsidR="00E5430E" w:rsidRDefault="00E5430E" w:rsidP="00744FF7">
            <w:pPr>
              <w:autoSpaceDE w:val="0"/>
              <w:autoSpaceDN w:val="0"/>
              <w:adjustRightInd w:val="0"/>
              <w:jc w:val="both"/>
            </w:pPr>
            <w:r>
              <w:t>Dette brute des administrations publiques, définition Maastricht (% du PIB)</w:t>
            </w:r>
          </w:p>
        </w:tc>
        <w:tc>
          <w:tcPr>
            <w:tcW w:w="828" w:type="dxa"/>
            <w:gridSpan w:val="2"/>
          </w:tcPr>
          <w:p w:rsidR="00E5430E" w:rsidRDefault="004C6176" w:rsidP="004E7E27">
            <w:pPr>
              <w:autoSpaceDE w:val="0"/>
              <w:autoSpaceDN w:val="0"/>
              <w:adjustRightInd w:val="0"/>
              <w:jc w:val="center"/>
            </w:pPr>
            <w:r>
              <w:t>68.0</w:t>
            </w:r>
          </w:p>
        </w:tc>
        <w:tc>
          <w:tcPr>
            <w:tcW w:w="708" w:type="dxa"/>
          </w:tcPr>
          <w:p w:rsidR="00E5430E" w:rsidRDefault="004C6176" w:rsidP="004E7E27">
            <w:pPr>
              <w:autoSpaceDE w:val="0"/>
              <w:autoSpaceDN w:val="0"/>
              <w:adjustRightInd w:val="0"/>
              <w:jc w:val="center"/>
            </w:pPr>
            <w:r>
              <w:t>63.8</w:t>
            </w:r>
          </w:p>
        </w:tc>
        <w:tc>
          <w:tcPr>
            <w:tcW w:w="853" w:type="dxa"/>
            <w:gridSpan w:val="2"/>
          </w:tcPr>
          <w:p w:rsidR="00E5430E" w:rsidRDefault="004C6176" w:rsidP="004E7E27">
            <w:pPr>
              <w:autoSpaceDE w:val="0"/>
              <w:autoSpaceDN w:val="0"/>
              <w:adjustRightInd w:val="0"/>
              <w:jc w:val="center"/>
            </w:pPr>
            <w:r>
              <w:t>60.5</w:t>
            </w:r>
          </w:p>
        </w:tc>
        <w:tc>
          <w:tcPr>
            <w:tcW w:w="772" w:type="dxa"/>
          </w:tcPr>
          <w:p w:rsidR="00E5430E" w:rsidRDefault="004C6176" w:rsidP="004E7E27">
            <w:pPr>
              <w:autoSpaceDE w:val="0"/>
              <w:autoSpaceDN w:val="0"/>
              <w:adjustRightInd w:val="0"/>
              <w:jc w:val="center"/>
            </w:pPr>
            <w:r>
              <w:t>58.1</w:t>
            </w:r>
          </w:p>
        </w:tc>
        <w:tc>
          <w:tcPr>
            <w:tcW w:w="789" w:type="dxa"/>
          </w:tcPr>
          <w:p w:rsidR="00E5430E" w:rsidRDefault="004C6176" w:rsidP="004E7E27">
            <w:pPr>
              <w:autoSpaceDE w:val="0"/>
              <w:autoSpaceDN w:val="0"/>
              <w:adjustRightInd w:val="0"/>
              <w:jc w:val="center"/>
            </w:pPr>
            <w:r>
              <w:t>56.1</w:t>
            </w:r>
          </w:p>
        </w:tc>
      </w:tr>
      <w:tr w:rsidR="004C6176" w:rsidTr="00414A0B">
        <w:tc>
          <w:tcPr>
            <w:tcW w:w="5372" w:type="dxa"/>
            <w:gridSpan w:val="2"/>
          </w:tcPr>
          <w:p w:rsidR="004C6176" w:rsidRDefault="004C6176" w:rsidP="00744FF7">
            <w:pPr>
              <w:autoSpaceDE w:val="0"/>
              <w:autoSpaceDN w:val="0"/>
              <w:adjustRightInd w:val="0"/>
              <w:jc w:val="both"/>
            </w:pPr>
            <w:r>
              <w:t>Balance des opérations courantes (% du PIB)</w:t>
            </w:r>
          </w:p>
        </w:tc>
        <w:tc>
          <w:tcPr>
            <w:tcW w:w="828" w:type="dxa"/>
            <w:gridSpan w:val="2"/>
          </w:tcPr>
          <w:p w:rsidR="004C6176" w:rsidRDefault="004C6176" w:rsidP="004E7E27">
            <w:pPr>
              <w:autoSpaceDE w:val="0"/>
              <w:autoSpaceDN w:val="0"/>
              <w:adjustRightInd w:val="0"/>
              <w:jc w:val="center"/>
            </w:pPr>
            <w:r>
              <w:t>8.5</w:t>
            </w:r>
          </w:p>
        </w:tc>
        <w:tc>
          <w:tcPr>
            <w:tcW w:w="708" w:type="dxa"/>
          </w:tcPr>
          <w:p w:rsidR="004C6176" w:rsidRDefault="004C6176" w:rsidP="004E7E27">
            <w:pPr>
              <w:autoSpaceDE w:val="0"/>
              <w:autoSpaceDN w:val="0"/>
              <w:adjustRightInd w:val="0"/>
              <w:jc w:val="center"/>
            </w:pPr>
            <w:r>
              <w:t>8.0</w:t>
            </w:r>
          </w:p>
        </w:tc>
        <w:tc>
          <w:tcPr>
            <w:tcW w:w="853" w:type="dxa"/>
            <w:gridSpan w:val="2"/>
          </w:tcPr>
          <w:p w:rsidR="004C6176" w:rsidRDefault="004C6176" w:rsidP="004E7E27">
            <w:pPr>
              <w:autoSpaceDE w:val="0"/>
              <w:autoSpaceDN w:val="0"/>
              <w:adjustRightInd w:val="0"/>
              <w:jc w:val="center"/>
            </w:pPr>
            <w:r>
              <w:t>7.7</w:t>
            </w:r>
          </w:p>
        </w:tc>
        <w:tc>
          <w:tcPr>
            <w:tcW w:w="772" w:type="dxa"/>
          </w:tcPr>
          <w:p w:rsidR="004C6176" w:rsidRDefault="004C6176" w:rsidP="004E7E27">
            <w:pPr>
              <w:autoSpaceDE w:val="0"/>
              <w:autoSpaceDN w:val="0"/>
              <w:adjustRightInd w:val="0"/>
              <w:jc w:val="center"/>
            </w:pPr>
            <w:r>
              <w:t>7.2</w:t>
            </w:r>
          </w:p>
        </w:tc>
        <w:tc>
          <w:tcPr>
            <w:tcW w:w="789" w:type="dxa"/>
          </w:tcPr>
          <w:p w:rsidR="004C6176" w:rsidRDefault="004C6176" w:rsidP="004E7E27">
            <w:pPr>
              <w:autoSpaceDE w:val="0"/>
              <w:autoSpaceDN w:val="0"/>
              <w:adjustRightInd w:val="0"/>
              <w:jc w:val="center"/>
            </w:pPr>
            <w:r>
              <w:t>6.8</w:t>
            </w:r>
          </w:p>
        </w:tc>
      </w:tr>
    </w:tbl>
    <w:p w:rsidR="004E7E27" w:rsidRPr="00965E84" w:rsidRDefault="00020FAB" w:rsidP="00744FF7">
      <w:pPr>
        <w:autoSpaceDE w:val="0"/>
        <w:autoSpaceDN w:val="0"/>
        <w:adjustRightInd w:val="0"/>
        <w:spacing w:after="0" w:line="240" w:lineRule="auto"/>
        <w:jc w:val="both"/>
        <w:rPr>
          <w:sz w:val="20"/>
          <w:szCs w:val="20"/>
        </w:rPr>
      </w:pPr>
      <w:r w:rsidRPr="00965E84">
        <w:rPr>
          <w:sz w:val="20"/>
          <w:szCs w:val="20"/>
        </w:rPr>
        <w:t>1. Contributions aux variations du PIB en volume, montant effectif pour la première colonne</w:t>
      </w:r>
    </w:p>
    <w:p w:rsidR="00965E84" w:rsidRPr="00965E84" w:rsidRDefault="00965E84" w:rsidP="00744FF7">
      <w:pPr>
        <w:autoSpaceDE w:val="0"/>
        <w:autoSpaceDN w:val="0"/>
        <w:adjustRightInd w:val="0"/>
        <w:spacing w:after="0" w:line="240" w:lineRule="auto"/>
        <w:jc w:val="both"/>
        <w:rPr>
          <w:sz w:val="20"/>
          <w:szCs w:val="20"/>
        </w:rPr>
      </w:pPr>
      <w:r w:rsidRPr="00965E84">
        <w:rPr>
          <w:sz w:val="20"/>
          <w:szCs w:val="20"/>
        </w:rPr>
        <w:t>2. Projections</w:t>
      </w:r>
    </w:p>
    <w:p w:rsidR="00020FAB" w:rsidRPr="00965E84" w:rsidRDefault="00020FAB" w:rsidP="00744FF7">
      <w:pPr>
        <w:autoSpaceDE w:val="0"/>
        <w:autoSpaceDN w:val="0"/>
        <w:adjustRightInd w:val="0"/>
        <w:spacing w:after="0" w:line="240" w:lineRule="auto"/>
        <w:jc w:val="both"/>
      </w:pPr>
      <w:r w:rsidRPr="00965E84">
        <w:t>Source : Base de données des Perspectives économiques de l'OCDE, n°104</w:t>
      </w:r>
    </w:p>
    <w:p w:rsidR="009E6C5E" w:rsidRDefault="009E6C5E" w:rsidP="00744FF7">
      <w:pPr>
        <w:autoSpaceDE w:val="0"/>
        <w:autoSpaceDN w:val="0"/>
        <w:adjustRightInd w:val="0"/>
        <w:spacing w:after="0" w:line="240" w:lineRule="auto"/>
        <w:jc w:val="both"/>
      </w:pPr>
    </w:p>
    <w:p w:rsidR="007A58C7" w:rsidRPr="007A58C7" w:rsidRDefault="007A58C7" w:rsidP="00BA7FD3">
      <w:pPr>
        <w:pBdr>
          <w:top w:val="single" w:sz="4" w:space="1" w:color="auto"/>
          <w:left w:val="single" w:sz="4" w:space="4" w:color="auto"/>
          <w:bottom w:val="single" w:sz="4" w:space="1" w:color="auto"/>
          <w:right w:val="single" w:sz="4" w:space="4" w:color="auto"/>
        </w:pBdr>
        <w:spacing w:after="0" w:line="240" w:lineRule="auto"/>
        <w:jc w:val="both"/>
        <w:rPr>
          <w:b/>
        </w:rPr>
      </w:pPr>
      <w:r w:rsidRPr="007A58C7">
        <w:rPr>
          <w:b/>
        </w:rPr>
        <w:t>Encadré 1. Principaux éléments du programme du nouveau gouvernement (extrait)</w:t>
      </w:r>
    </w:p>
    <w:p w:rsidR="007A58C7" w:rsidRPr="007A58C7" w:rsidRDefault="007A58C7" w:rsidP="00BA7FD3">
      <w:pPr>
        <w:pBdr>
          <w:top w:val="single" w:sz="4" w:space="1" w:color="auto"/>
          <w:left w:val="single" w:sz="4" w:space="4" w:color="auto"/>
          <w:bottom w:val="single" w:sz="4" w:space="1" w:color="auto"/>
          <w:right w:val="single" w:sz="4" w:space="4" w:color="auto"/>
        </w:pBdr>
        <w:spacing w:after="0" w:line="240" w:lineRule="auto"/>
        <w:jc w:val="both"/>
      </w:pPr>
      <w:r w:rsidRPr="005042A8">
        <w:rPr>
          <w:b/>
        </w:rPr>
        <w:t>Politique climatique</w:t>
      </w:r>
      <w:r w:rsidRPr="007A58C7">
        <w:t xml:space="preserve"> : Le gouvernement a l’intention de mettre en </w:t>
      </w:r>
      <w:proofErr w:type="spellStart"/>
      <w:r w:rsidRPr="007A58C7">
        <w:t>oeuvre</w:t>
      </w:r>
      <w:proofErr w:type="spellEnd"/>
      <w:r>
        <w:t xml:space="preserve"> </w:t>
      </w:r>
      <w:r w:rsidRPr="007A58C7">
        <w:t>des mesures supplémentaires pour réduire l’écart entre les émissions de</w:t>
      </w:r>
      <w:r>
        <w:t xml:space="preserve"> </w:t>
      </w:r>
      <w:r w:rsidRPr="007A58C7">
        <w:t>gaz à effet de serre (GES) et l’objectif climatique pour 2020. Pour</w:t>
      </w:r>
      <w:r>
        <w:t xml:space="preserve"> </w:t>
      </w:r>
      <w:r w:rsidRPr="007A58C7">
        <w:t>atteindre l’objectif d’émissions de GES de 2030, il prévoit de faire baisser</w:t>
      </w:r>
    </w:p>
    <w:p w:rsidR="007A58C7" w:rsidRDefault="007A58C7" w:rsidP="00BA7FD3">
      <w:pPr>
        <w:pBdr>
          <w:top w:val="single" w:sz="4" w:space="1" w:color="auto"/>
          <w:left w:val="single" w:sz="4" w:space="4" w:color="auto"/>
          <w:bottom w:val="single" w:sz="4" w:space="1" w:color="auto"/>
          <w:right w:val="single" w:sz="4" w:space="4" w:color="auto"/>
        </w:pBdr>
        <w:spacing w:after="0" w:line="240" w:lineRule="auto"/>
        <w:jc w:val="both"/>
      </w:pPr>
      <w:proofErr w:type="gramStart"/>
      <w:r w:rsidRPr="007A58C7">
        <w:t>la</w:t>
      </w:r>
      <w:proofErr w:type="gramEnd"/>
      <w:r w:rsidRPr="007A58C7">
        <w:t xml:space="preserve"> production d’énergie au charbon tout en finançant les changements</w:t>
      </w:r>
      <w:r>
        <w:t xml:space="preserve"> </w:t>
      </w:r>
      <w:r w:rsidRPr="007A58C7">
        <w:t>structurels dans les régions concernées. La politique de transports à faibles</w:t>
      </w:r>
      <w:r>
        <w:t xml:space="preserve"> </w:t>
      </w:r>
      <w:r w:rsidRPr="007A58C7">
        <w:t>émissions sera renforcée (ferroviaire, transports publics, mobilité à</w:t>
      </w:r>
      <w:r>
        <w:t xml:space="preserve"> </w:t>
      </w:r>
      <w:r w:rsidRPr="007A58C7">
        <w:t>émissions faibles ou nulles, mesures en faveur de l’autopartage). Des</w:t>
      </w:r>
      <w:r>
        <w:t xml:space="preserve"> </w:t>
      </w:r>
      <w:r w:rsidRPr="007A58C7">
        <w:t>mesures d’amélioration de la qualité de l’air, notamment dans les villes,</w:t>
      </w:r>
      <w:r>
        <w:t xml:space="preserve"> </w:t>
      </w:r>
      <w:r w:rsidRPr="007A58C7">
        <w:t xml:space="preserve">seront mises en </w:t>
      </w:r>
      <w:proofErr w:type="spellStart"/>
      <w:r w:rsidRPr="007A58C7">
        <w:t>oeuvre</w:t>
      </w:r>
      <w:proofErr w:type="spellEnd"/>
      <w:r w:rsidRPr="007A58C7">
        <w:t>. Le gouvernement entend notamment augmenter la</w:t>
      </w:r>
      <w:r>
        <w:t xml:space="preserve"> </w:t>
      </w:r>
      <w:r w:rsidRPr="007A58C7">
        <w:t>prime à l’achat (</w:t>
      </w:r>
      <w:proofErr w:type="spellStart"/>
      <w:r w:rsidRPr="007A58C7">
        <w:t>Umweltbonus</w:t>
      </w:r>
      <w:proofErr w:type="spellEnd"/>
      <w:r w:rsidRPr="007A58C7">
        <w:t>) pour les véhicules utilitaires légers et les</w:t>
      </w:r>
      <w:r>
        <w:t xml:space="preserve"> </w:t>
      </w:r>
      <w:r w:rsidRPr="007A58C7">
        <w:t>taxis et développer les infrastructures de recharge pour les voitures en vue</w:t>
      </w:r>
      <w:r w:rsidR="00965E84">
        <w:t xml:space="preserve"> </w:t>
      </w:r>
      <w:r w:rsidRPr="007A58C7">
        <w:t>de faciliter les transports électriques. Le gouvernement projette aussi de</w:t>
      </w:r>
      <w:r>
        <w:t xml:space="preserve"> </w:t>
      </w:r>
      <w:r w:rsidRPr="007A58C7">
        <w:t>lancer des champs d’expérimentation numérique pour la conduite</w:t>
      </w:r>
      <w:r>
        <w:t xml:space="preserve"> </w:t>
      </w:r>
      <w:r w:rsidRPr="007A58C7">
        <w:t>automatisée et d’ouvrir la réglementation des transports aux nouveaux services de mobilité partagée.</w:t>
      </w:r>
    </w:p>
    <w:p w:rsidR="00744FF7" w:rsidRDefault="00744FF7" w:rsidP="00744FF7">
      <w:pPr>
        <w:spacing w:after="0" w:line="240" w:lineRule="auto"/>
        <w:jc w:val="both"/>
        <w:rPr>
          <w:i/>
        </w:rPr>
      </w:pPr>
      <w:r w:rsidRPr="00D712F0">
        <w:rPr>
          <w:i/>
        </w:rPr>
        <w:t>www.oecd.org/fr/eco/perspectives, novembre 2018</w:t>
      </w:r>
    </w:p>
    <w:p w:rsidR="009E6C5E" w:rsidRPr="00D712F0" w:rsidRDefault="009E6C5E" w:rsidP="00744FF7">
      <w:pPr>
        <w:spacing w:after="0" w:line="240" w:lineRule="auto"/>
        <w:jc w:val="both"/>
        <w:rPr>
          <w:i/>
        </w:rPr>
      </w:pPr>
    </w:p>
    <w:p w:rsidR="007B3773" w:rsidRPr="007B3773" w:rsidRDefault="00DA3CEC" w:rsidP="007B3773">
      <w:pPr>
        <w:spacing w:after="0" w:line="240" w:lineRule="auto"/>
        <w:jc w:val="both"/>
        <w:rPr>
          <w:b/>
        </w:rPr>
      </w:pPr>
      <w:r>
        <w:rPr>
          <w:b/>
        </w:rPr>
        <w:t xml:space="preserve">Annexe </w:t>
      </w:r>
      <w:r w:rsidR="00744FF7">
        <w:rPr>
          <w:b/>
        </w:rPr>
        <w:t>3</w:t>
      </w:r>
      <w:r>
        <w:rPr>
          <w:b/>
        </w:rPr>
        <w:t xml:space="preserve"> : </w:t>
      </w:r>
      <w:r w:rsidR="007B3773" w:rsidRPr="007B3773">
        <w:rPr>
          <w:b/>
        </w:rPr>
        <w:t>L'économie allemande montre ses faiblesses structurelles</w:t>
      </w:r>
    </w:p>
    <w:p w:rsidR="007B3773" w:rsidRDefault="007B3773" w:rsidP="007B3773">
      <w:pPr>
        <w:spacing w:after="0" w:line="240" w:lineRule="auto"/>
        <w:jc w:val="both"/>
      </w:pPr>
      <w:r w:rsidRPr="007B3773">
        <w:t>Premier frein à la croissance, le manque de personnel qualifié. Dans un pays où le chômage est à son niveau le plus faible depuis la réunification, le nombre d’offres d’emploi non pourvues a franchi en novembre 2018 un nouveau record, à 1,24 million. Conséquence, les entreprises peinent à recruter, augmentent les salaires et ne peuvent plus améliorer leur production.</w:t>
      </w:r>
    </w:p>
    <w:p w:rsidR="00744FF7" w:rsidRPr="007B3773" w:rsidRDefault="00744FF7" w:rsidP="007B3773">
      <w:pPr>
        <w:spacing w:after="0" w:line="240" w:lineRule="auto"/>
        <w:jc w:val="both"/>
      </w:pPr>
    </w:p>
    <w:p w:rsidR="007B3773" w:rsidRDefault="007B3773" w:rsidP="007B3773">
      <w:pPr>
        <w:spacing w:after="0" w:line="240" w:lineRule="auto"/>
        <w:jc w:val="both"/>
      </w:pPr>
      <w:r w:rsidRPr="007B3773">
        <w:lastRenderedPageBreak/>
        <w:t>Après des années de discussions, un projet de loi sur l’immigration, réclamée par le patronat, a enfin été présenté par le gouvernement en décembre. Le dispositif doit faciliter non seulement l’arrivée de travailleurs venant de pays extérieurs à l’Union européenne, mais aussi l’intégration des réfugiés. La banque publique d’investissement KfW redoute un manque général de main-d’œuvre à partir de 2025, quand la génération du babyboom arrivera à la retraite.</w:t>
      </w:r>
    </w:p>
    <w:p w:rsidR="00890EB4" w:rsidRPr="007B3773" w:rsidRDefault="00890EB4" w:rsidP="007B3773">
      <w:pPr>
        <w:spacing w:after="0" w:line="240" w:lineRule="auto"/>
        <w:jc w:val="both"/>
      </w:pPr>
    </w:p>
    <w:p w:rsidR="007B3773" w:rsidRDefault="007B3773" w:rsidP="007B3773">
      <w:pPr>
        <w:spacing w:after="0" w:line="240" w:lineRule="auto"/>
        <w:jc w:val="both"/>
      </w:pPr>
      <w:r w:rsidRPr="007B3773">
        <w:t xml:space="preserve">L’Allemagne souffre aussi de la faiblesse de ses infrastructures. Les problèmes de livraison liés à la faiblesse du niveau du Rhin ont rappelé combien les infrastructures de transport alternatives aux voies fluviales – le train et surtout la route – souffrent de décennies de sous-investissement. « Le problème a été bien pris en compte par l’Etat, mais les modernisations qui ont été entreprises récemment ont pour effet à court terme de faire baisser la production, car des voies et des routes doivent être fermées », explique Stefan </w:t>
      </w:r>
      <w:proofErr w:type="spellStart"/>
      <w:r w:rsidRPr="007B3773">
        <w:t>Kooths</w:t>
      </w:r>
      <w:proofErr w:type="spellEnd"/>
      <w:r w:rsidRPr="007B3773">
        <w:t>, chef économiste à l’institut de Kiel. Le réseau Internet et téléphonique n’est pas à la pointe.</w:t>
      </w:r>
    </w:p>
    <w:p w:rsidR="00744FF7" w:rsidRPr="007B3773" w:rsidRDefault="00744FF7" w:rsidP="007B3773">
      <w:pPr>
        <w:spacing w:after="0" w:line="240" w:lineRule="auto"/>
        <w:jc w:val="both"/>
      </w:pPr>
    </w:p>
    <w:p w:rsidR="007B3773" w:rsidRDefault="007B3773" w:rsidP="007B3773">
      <w:pPr>
        <w:spacing w:after="0" w:line="240" w:lineRule="auto"/>
        <w:jc w:val="both"/>
      </w:pPr>
      <w:r w:rsidRPr="007B3773">
        <w:t>Ces facteurs nourrissent la crainte des milieux industriels de voir l’Allemagne perdre en compétitivité. Une étude remarquée, publiée début janvier par la fondation pour les entreprises familiales, estimait dans son classement des pays de l’OCDE que l’Allemagne était désormais moins attractive que le Portugal – jadis vu comme un des mauvais élèves de la zone euro. Outre les faiblesses des infrastructures, le rapport évoque la situation fiscale.</w:t>
      </w:r>
    </w:p>
    <w:p w:rsidR="00744FF7" w:rsidRPr="007B3773" w:rsidRDefault="00744FF7" w:rsidP="007B3773">
      <w:pPr>
        <w:spacing w:after="0" w:line="240" w:lineRule="auto"/>
        <w:jc w:val="both"/>
      </w:pPr>
    </w:p>
    <w:p w:rsidR="007B3773" w:rsidRPr="007B3773" w:rsidRDefault="007B3773" w:rsidP="007B3773">
      <w:pPr>
        <w:spacing w:after="0" w:line="240" w:lineRule="auto"/>
        <w:jc w:val="both"/>
      </w:pPr>
      <w:r w:rsidRPr="007B3773">
        <w:t>Les entreprises observent, en effet, depuis plusieurs mois avec inquiétude les réformes fiscales enclenchées par les pays concurrents – les Etats-Unis, bien sûr, mais aussi la France – qui ont considérablement allégé la fiscalité des entreprises. Dans le même temps, l’Etat fédéral allemand affiche plus de 10 milliards d’euros d’excédent budgétaire en 2018, un record qui passe mal.</w:t>
      </w:r>
      <w:r w:rsidR="00AF3ECC">
        <w:t xml:space="preserve"> </w:t>
      </w:r>
      <w:r w:rsidRPr="007B3773">
        <w:t>Un débat sur des baisses d’impôts a été lancé ces derniers jours, mais il n’est pas certain que cela suffise à calmer la grogne des milieux industriels. « De façon générale, depuis 2005, quasi aucune réforme n’a été faite pour améliorer la compétitivité du site industriel allemand. Le débat s’est endormi. On peut comprendre que les entreprises soient nerveuses, car dans le même temps le poids des charges qui pèsent sur elles s’est continuellement accru », conclut M. </w:t>
      </w:r>
      <w:proofErr w:type="spellStart"/>
      <w:r w:rsidRPr="007B3773">
        <w:t>Kooths</w:t>
      </w:r>
      <w:proofErr w:type="spellEnd"/>
      <w:r w:rsidRPr="007B3773">
        <w:t>.</w:t>
      </w:r>
    </w:p>
    <w:p w:rsidR="007B3773" w:rsidRPr="00DA3CEC" w:rsidRDefault="007B3773" w:rsidP="007B3773">
      <w:pPr>
        <w:spacing w:after="0" w:line="240" w:lineRule="auto"/>
        <w:jc w:val="both"/>
        <w:rPr>
          <w:i/>
        </w:rPr>
      </w:pPr>
      <w:r w:rsidRPr="00DA3CEC">
        <w:rPr>
          <w:i/>
        </w:rPr>
        <w:t xml:space="preserve">Cécile </w:t>
      </w:r>
      <w:proofErr w:type="spellStart"/>
      <w:r w:rsidRPr="00DA3CEC">
        <w:rPr>
          <w:i/>
        </w:rPr>
        <w:t>Boutelet</w:t>
      </w:r>
      <w:proofErr w:type="spellEnd"/>
      <w:r w:rsidRPr="00DA3CEC">
        <w:rPr>
          <w:i/>
        </w:rPr>
        <w:t>, www.lemonde.fr</w:t>
      </w:r>
      <w:r w:rsidR="00BA33B4">
        <w:rPr>
          <w:i/>
        </w:rPr>
        <w:t>, 15 janvier 2019</w:t>
      </w:r>
    </w:p>
    <w:p w:rsidR="007B3773" w:rsidRPr="007B3773" w:rsidRDefault="007B3773" w:rsidP="007B3773">
      <w:pPr>
        <w:spacing w:after="0" w:line="240" w:lineRule="auto"/>
        <w:jc w:val="both"/>
      </w:pPr>
    </w:p>
    <w:p w:rsidR="00EF0B42" w:rsidRPr="00744FF7" w:rsidRDefault="00EF0B42" w:rsidP="00FB35B9">
      <w:pPr>
        <w:spacing w:after="0" w:line="240" w:lineRule="auto"/>
        <w:jc w:val="both"/>
        <w:rPr>
          <w:b/>
        </w:rPr>
      </w:pPr>
      <w:r w:rsidRPr="00744FF7">
        <w:rPr>
          <w:b/>
        </w:rPr>
        <w:t xml:space="preserve">Annexe </w:t>
      </w:r>
      <w:r w:rsidR="005B1B4A">
        <w:rPr>
          <w:b/>
        </w:rPr>
        <w:t>4</w:t>
      </w:r>
      <w:r w:rsidRPr="00744FF7">
        <w:rPr>
          <w:b/>
        </w:rPr>
        <w:t xml:space="preserve"> :  </w:t>
      </w:r>
      <w:r w:rsidR="00846B24" w:rsidRPr="00744FF7">
        <w:rPr>
          <w:b/>
        </w:rPr>
        <w:t>Indicateur du vivre mieux en Allemagne, 2017</w:t>
      </w:r>
    </w:p>
    <w:p w:rsidR="00846B24" w:rsidRDefault="00BA7FD3" w:rsidP="00FB35B9">
      <w:pPr>
        <w:spacing w:after="0" w:line="240" w:lineRule="auto"/>
        <w:jc w:val="both"/>
      </w:pPr>
      <w:r>
        <w:rPr>
          <w:noProof/>
          <w:lang w:eastAsia="fr-FR"/>
        </w:rPr>
        <w:drawing>
          <wp:inline distT="0" distB="0" distL="0" distR="0">
            <wp:extent cx="4714875" cy="2409825"/>
            <wp:effectExtent l="19050" t="0" r="9525" b="0"/>
            <wp:docPr id="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4714875" cy="2409825"/>
                    </a:xfrm>
                    <a:prstGeom prst="rect">
                      <a:avLst/>
                    </a:prstGeom>
                    <a:noFill/>
                    <a:ln w="9525">
                      <a:noFill/>
                      <a:miter lim="800000"/>
                      <a:headEnd/>
                      <a:tailEnd/>
                    </a:ln>
                  </pic:spPr>
                </pic:pic>
              </a:graphicData>
            </a:graphic>
          </wp:inline>
        </w:drawing>
      </w:r>
    </w:p>
    <w:p w:rsidR="00691F70" w:rsidRDefault="00B84B4E" w:rsidP="00BA7FD3">
      <w:pPr>
        <w:spacing w:after="0" w:line="240" w:lineRule="auto"/>
        <w:jc w:val="both"/>
      </w:pPr>
      <w:r>
        <w:t>L'échelle de valeurs va de</w:t>
      </w:r>
      <w:r w:rsidR="00691F70">
        <w:t xml:space="preserve"> 0 (situation la plus mauvaise) à 10 (situation la meilleure)</w:t>
      </w:r>
      <w:r>
        <w:t>.</w:t>
      </w:r>
    </w:p>
    <w:p w:rsidR="00BA7FD3" w:rsidRDefault="00BA7FD3" w:rsidP="00BA7FD3">
      <w:pPr>
        <w:spacing w:after="0" w:line="240" w:lineRule="auto"/>
        <w:jc w:val="both"/>
      </w:pPr>
      <w:r>
        <w:t>OCDE (2017), Indicateur du vivre mieux de l'OCDE, www.ocdebetterlifeindex.org</w:t>
      </w:r>
    </w:p>
    <w:p w:rsidR="00691F70" w:rsidRDefault="00691F70" w:rsidP="00BA7FD3">
      <w:pPr>
        <w:spacing w:after="0" w:line="240" w:lineRule="auto"/>
        <w:jc w:val="both"/>
      </w:pPr>
    </w:p>
    <w:p w:rsidR="00BA7FD3" w:rsidRDefault="00BA7FD3" w:rsidP="00EE75BB">
      <w:pPr>
        <w:spacing w:after="0" w:line="240" w:lineRule="auto"/>
        <w:jc w:val="both"/>
        <w:rPr>
          <w:u w:val="single"/>
        </w:rPr>
      </w:pPr>
    </w:p>
    <w:p w:rsidR="007D5B2C" w:rsidRDefault="007D5B2C" w:rsidP="00EE75BB">
      <w:pPr>
        <w:spacing w:after="0" w:line="240" w:lineRule="auto"/>
        <w:jc w:val="both"/>
        <w:rPr>
          <w:u w:val="single"/>
        </w:rPr>
      </w:pPr>
    </w:p>
    <w:p w:rsidR="007D5B2C" w:rsidRDefault="007D5B2C" w:rsidP="00EE75BB">
      <w:pPr>
        <w:spacing w:after="0" w:line="240" w:lineRule="auto"/>
        <w:jc w:val="both"/>
        <w:rPr>
          <w:u w:val="single"/>
        </w:rPr>
      </w:pPr>
    </w:p>
    <w:p w:rsidR="007D5B2C" w:rsidRDefault="007D5B2C" w:rsidP="00EE75BB">
      <w:pPr>
        <w:spacing w:after="0" w:line="240" w:lineRule="auto"/>
        <w:jc w:val="both"/>
        <w:rPr>
          <w:u w:val="single"/>
        </w:rPr>
      </w:pPr>
    </w:p>
    <w:p w:rsidR="000E4BE3" w:rsidRDefault="000E4BE3" w:rsidP="00EE75BB">
      <w:pPr>
        <w:spacing w:after="0" w:line="240" w:lineRule="auto"/>
        <w:jc w:val="both"/>
      </w:pPr>
      <w:r w:rsidRPr="000E4BE3">
        <w:rPr>
          <w:u w:val="single"/>
        </w:rPr>
        <w:t>Remarque</w:t>
      </w:r>
      <w:r w:rsidR="00FD3259">
        <w:t xml:space="preserve"> : chacun des </w:t>
      </w:r>
      <w:proofErr w:type="gramStart"/>
      <w:r w:rsidR="00FD3259">
        <w:t>11  indicateurs</w:t>
      </w:r>
      <w:proofErr w:type="gramEnd"/>
      <w:r w:rsidR="00FD3259">
        <w:t xml:space="preserve"> principaux comprend</w:t>
      </w:r>
      <w:r w:rsidR="00CD268B">
        <w:t xml:space="preserve"> des sous-indicateurs</w:t>
      </w:r>
      <w:r w:rsidR="005B1B4A" w:rsidRPr="005B1B4A">
        <w:rPr>
          <w:vertAlign w:val="superscript"/>
        </w:rPr>
        <w:t>[</w:t>
      </w:r>
      <w:r w:rsidR="00A76017" w:rsidRPr="005B1B4A">
        <w:rPr>
          <w:rStyle w:val="Appelnotedebasdep"/>
        </w:rPr>
        <w:footnoteReference w:id="1"/>
      </w:r>
      <w:r w:rsidR="005B1B4A" w:rsidRPr="005B1B4A">
        <w:rPr>
          <w:vertAlign w:val="superscript"/>
        </w:rPr>
        <w:t>]</w:t>
      </w:r>
      <w:r w:rsidR="00A76017">
        <w:t xml:space="preserve">. </w:t>
      </w:r>
      <w:r w:rsidR="005B1B4A">
        <w:t>Le tableau qui suit reprend la décomposition de l'indi</w:t>
      </w:r>
      <w:r>
        <w:t xml:space="preserve">cateur </w:t>
      </w:r>
      <w:r w:rsidR="00A362FF">
        <w:t>"</w:t>
      </w:r>
      <w:r>
        <w:t>Emploi</w:t>
      </w:r>
      <w:r w:rsidR="00A362FF">
        <w:t xml:space="preserve"> et salaires" pour l'Allemagne :</w:t>
      </w:r>
    </w:p>
    <w:tbl>
      <w:tblPr>
        <w:tblStyle w:val="Grilledutableau"/>
        <w:tblW w:w="0" w:type="auto"/>
        <w:tblLook w:val="04A0" w:firstRow="1" w:lastRow="0" w:firstColumn="1" w:lastColumn="0" w:noHBand="0" w:noVBand="1"/>
      </w:tblPr>
      <w:tblGrid>
        <w:gridCol w:w="2376"/>
        <w:gridCol w:w="2127"/>
        <w:gridCol w:w="1023"/>
        <w:gridCol w:w="2095"/>
        <w:gridCol w:w="1591"/>
      </w:tblGrid>
      <w:tr w:rsidR="000E4BE3" w:rsidRPr="000E4BE3" w:rsidTr="00A362FF">
        <w:tc>
          <w:tcPr>
            <w:tcW w:w="2376" w:type="dxa"/>
            <w:vMerge w:val="restart"/>
          </w:tcPr>
          <w:p w:rsidR="000E4BE3" w:rsidRPr="000E4BE3" w:rsidRDefault="000E4BE3" w:rsidP="00EE75BB">
            <w:pPr>
              <w:jc w:val="both"/>
              <w:rPr>
                <w:b/>
              </w:rPr>
            </w:pPr>
            <w:r w:rsidRPr="000E4BE3">
              <w:rPr>
                <w:b/>
              </w:rPr>
              <w:t>Indicateur</w:t>
            </w:r>
          </w:p>
        </w:tc>
        <w:tc>
          <w:tcPr>
            <w:tcW w:w="6836" w:type="dxa"/>
            <w:gridSpan w:val="4"/>
          </w:tcPr>
          <w:p w:rsidR="000E4BE3" w:rsidRPr="000E4BE3" w:rsidRDefault="000E4BE3" w:rsidP="000E4BE3">
            <w:pPr>
              <w:jc w:val="center"/>
              <w:rPr>
                <w:b/>
              </w:rPr>
            </w:pPr>
            <w:r w:rsidRPr="000E4BE3">
              <w:rPr>
                <w:b/>
              </w:rPr>
              <w:t>Emploi</w:t>
            </w:r>
            <w:r w:rsidR="00A362FF">
              <w:rPr>
                <w:b/>
              </w:rPr>
              <w:t xml:space="preserve"> et salaires</w:t>
            </w:r>
          </w:p>
        </w:tc>
      </w:tr>
      <w:tr w:rsidR="000E4BE3" w:rsidRPr="000E4BE3" w:rsidTr="00A362FF">
        <w:tc>
          <w:tcPr>
            <w:tcW w:w="2376" w:type="dxa"/>
            <w:vMerge/>
          </w:tcPr>
          <w:p w:rsidR="000E4BE3" w:rsidRPr="000E4BE3" w:rsidRDefault="000E4BE3" w:rsidP="00EE75BB">
            <w:pPr>
              <w:jc w:val="both"/>
              <w:rPr>
                <w:b/>
              </w:rPr>
            </w:pPr>
          </w:p>
        </w:tc>
        <w:tc>
          <w:tcPr>
            <w:tcW w:w="2127" w:type="dxa"/>
          </w:tcPr>
          <w:p w:rsidR="000E4BE3" w:rsidRPr="000E4BE3" w:rsidRDefault="000E4BE3" w:rsidP="00965E84">
            <w:pPr>
              <w:jc w:val="center"/>
              <w:rPr>
                <w:b/>
              </w:rPr>
            </w:pPr>
            <w:r w:rsidRPr="000E4BE3">
              <w:rPr>
                <w:b/>
              </w:rPr>
              <w:t>Insécurité sur le marché du travail</w:t>
            </w:r>
            <w:r w:rsidR="006C51B0">
              <w:rPr>
                <w:b/>
              </w:rPr>
              <w:t xml:space="preserve"> </w:t>
            </w:r>
            <w:r w:rsidR="006C51B0" w:rsidRPr="00965E84">
              <w:rPr>
                <w:b/>
                <w:sz w:val="18"/>
                <w:szCs w:val="18"/>
              </w:rPr>
              <w:t>[</w:t>
            </w:r>
            <w:r w:rsidR="00965E84" w:rsidRPr="00965E84">
              <w:rPr>
                <w:b/>
                <w:sz w:val="18"/>
                <w:szCs w:val="18"/>
              </w:rPr>
              <w:t>a</w:t>
            </w:r>
            <w:r w:rsidR="006C51B0" w:rsidRPr="00965E84">
              <w:rPr>
                <w:b/>
                <w:sz w:val="18"/>
                <w:szCs w:val="18"/>
              </w:rPr>
              <w:t>]</w:t>
            </w:r>
          </w:p>
        </w:tc>
        <w:tc>
          <w:tcPr>
            <w:tcW w:w="1023" w:type="dxa"/>
          </w:tcPr>
          <w:p w:rsidR="000E4BE3" w:rsidRPr="000E4BE3" w:rsidRDefault="000E4BE3" w:rsidP="000E4BE3">
            <w:pPr>
              <w:jc w:val="center"/>
              <w:rPr>
                <w:b/>
              </w:rPr>
            </w:pPr>
            <w:r w:rsidRPr="000E4BE3">
              <w:rPr>
                <w:b/>
              </w:rPr>
              <w:t>Taux d'emploi</w:t>
            </w:r>
          </w:p>
        </w:tc>
        <w:tc>
          <w:tcPr>
            <w:tcW w:w="2095" w:type="dxa"/>
          </w:tcPr>
          <w:p w:rsidR="000E4BE3" w:rsidRPr="000E4BE3" w:rsidRDefault="000E4BE3" w:rsidP="00965E84">
            <w:pPr>
              <w:jc w:val="center"/>
              <w:rPr>
                <w:b/>
              </w:rPr>
            </w:pPr>
            <w:r w:rsidRPr="000E4BE3">
              <w:rPr>
                <w:b/>
              </w:rPr>
              <w:t>Taux de chômage de longue durée</w:t>
            </w:r>
            <w:r w:rsidR="006C51B0">
              <w:rPr>
                <w:b/>
              </w:rPr>
              <w:t xml:space="preserve"> </w:t>
            </w:r>
            <w:r w:rsidR="006C51B0" w:rsidRPr="00965E84">
              <w:rPr>
                <w:b/>
                <w:sz w:val="18"/>
                <w:szCs w:val="18"/>
              </w:rPr>
              <w:t>[</w:t>
            </w:r>
            <w:r w:rsidR="00965E84" w:rsidRPr="00965E84">
              <w:rPr>
                <w:b/>
                <w:sz w:val="18"/>
                <w:szCs w:val="18"/>
              </w:rPr>
              <w:t>b</w:t>
            </w:r>
            <w:r w:rsidR="006C51B0" w:rsidRPr="00965E84">
              <w:rPr>
                <w:b/>
                <w:sz w:val="18"/>
                <w:szCs w:val="18"/>
              </w:rPr>
              <w:t>]</w:t>
            </w:r>
          </w:p>
        </w:tc>
        <w:tc>
          <w:tcPr>
            <w:tcW w:w="1591" w:type="dxa"/>
          </w:tcPr>
          <w:p w:rsidR="000E4BE3" w:rsidRPr="000E4BE3" w:rsidRDefault="000E4BE3" w:rsidP="000E4BE3">
            <w:pPr>
              <w:jc w:val="center"/>
              <w:rPr>
                <w:b/>
              </w:rPr>
            </w:pPr>
            <w:r w:rsidRPr="000E4BE3">
              <w:rPr>
                <w:b/>
              </w:rPr>
              <w:t>Revenu moyen d'activité</w:t>
            </w:r>
          </w:p>
        </w:tc>
      </w:tr>
      <w:tr w:rsidR="000E4BE3" w:rsidTr="00A362FF">
        <w:tc>
          <w:tcPr>
            <w:tcW w:w="2376" w:type="dxa"/>
          </w:tcPr>
          <w:p w:rsidR="000E4BE3" w:rsidRDefault="000E4BE3" w:rsidP="00EE75BB">
            <w:pPr>
              <w:jc w:val="both"/>
            </w:pPr>
            <w:r>
              <w:t>Unité</w:t>
            </w:r>
          </w:p>
        </w:tc>
        <w:tc>
          <w:tcPr>
            <w:tcW w:w="2127" w:type="dxa"/>
          </w:tcPr>
          <w:p w:rsidR="000E4BE3" w:rsidRDefault="000E4BE3" w:rsidP="000E4BE3">
            <w:pPr>
              <w:jc w:val="center"/>
            </w:pPr>
            <w:r>
              <w:t>%</w:t>
            </w:r>
          </w:p>
        </w:tc>
        <w:tc>
          <w:tcPr>
            <w:tcW w:w="1023" w:type="dxa"/>
          </w:tcPr>
          <w:p w:rsidR="000E4BE3" w:rsidRDefault="000E4BE3" w:rsidP="000E4BE3">
            <w:pPr>
              <w:jc w:val="center"/>
            </w:pPr>
            <w:r>
              <w:t>%</w:t>
            </w:r>
          </w:p>
        </w:tc>
        <w:tc>
          <w:tcPr>
            <w:tcW w:w="2095" w:type="dxa"/>
          </w:tcPr>
          <w:p w:rsidR="000E4BE3" w:rsidRDefault="000E4BE3" w:rsidP="000E4BE3">
            <w:pPr>
              <w:jc w:val="center"/>
            </w:pPr>
            <w:r>
              <w:t>%</w:t>
            </w:r>
          </w:p>
        </w:tc>
        <w:tc>
          <w:tcPr>
            <w:tcW w:w="1591" w:type="dxa"/>
          </w:tcPr>
          <w:p w:rsidR="000E4BE3" w:rsidRDefault="000E4BE3" w:rsidP="000E4BE3">
            <w:pPr>
              <w:jc w:val="center"/>
            </w:pPr>
            <w:r>
              <w:t>$ des USA</w:t>
            </w:r>
          </w:p>
        </w:tc>
      </w:tr>
      <w:tr w:rsidR="000E4BE3" w:rsidTr="00A362FF">
        <w:tc>
          <w:tcPr>
            <w:tcW w:w="2376" w:type="dxa"/>
          </w:tcPr>
          <w:p w:rsidR="000E4BE3" w:rsidRDefault="000E4BE3" w:rsidP="00EE75BB">
            <w:pPr>
              <w:jc w:val="both"/>
            </w:pPr>
            <w:r>
              <w:t>Allemagne</w:t>
            </w:r>
          </w:p>
        </w:tc>
        <w:tc>
          <w:tcPr>
            <w:tcW w:w="2127" w:type="dxa"/>
          </w:tcPr>
          <w:p w:rsidR="000E4BE3" w:rsidRDefault="000E4BE3" w:rsidP="000E4BE3">
            <w:pPr>
              <w:jc w:val="center"/>
            </w:pPr>
            <w:r>
              <w:t>2</w:t>
            </w:r>
          </w:p>
        </w:tc>
        <w:tc>
          <w:tcPr>
            <w:tcW w:w="1023" w:type="dxa"/>
          </w:tcPr>
          <w:p w:rsidR="000E4BE3" w:rsidRDefault="000E4BE3" w:rsidP="000E4BE3">
            <w:pPr>
              <w:jc w:val="center"/>
            </w:pPr>
            <w:r>
              <w:t>74.7</w:t>
            </w:r>
          </w:p>
        </w:tc>
        <w:tc>
          <w:tcPr>
            <w:tcW w:w="2095" w:type="dxa"/>
          </w:tcPr>
          <w:p w:rsidR="000E4BE3" w:rsidRDefault="000E4BE3" w:rsidP="000E4BE3">
            <w:pPr>
              <w:jc w:val="center"/>
            </w:pPr>
            <w:r>
              <w:t>1.7</w:t>
            </w:r>
          </w:p>
        </w:tc>
        <w:tc>
          <w:tcPr>
            <w:tcW w:w="1591" w:type="dxa"/>
          </w:tcPr>
          <w:p w:rsidR="000E4BE3" w:rsidRDefault="000E4BE3" w:rsidP="000E4BE3">
            <w:pPr>
              <w:jc w:val="center"/>
            </w:pPr>
            <w:r>
              <w:t>46 389</w:t>
            </w:r>
          </w:p>
        </w:tc>
      </w:tr>
      <w:tr w:rsidR="000E4BE3" w:rsidTr="00A362FF">
        <w:tc>
          <w:tcPr>
            <w:tcW w:w="2376" w:type="dxa"/>
          </w:tcPr>
          <w:p w:rsidR="000E4BE3" w:rsidRDefault="000E4BE3" w:rsidP="00965E84">
            <w:r>
              <w:t>Rang de l'Allemagne</w:t>
            </w:r>
            <w:r w:rsidR="00A362FF">
              <w:t xml:space="preserve"> </w:t>
            </w:r>
            <w:r w:rsidR="00A362FF" w:rsidRPr="00965E84">
              <w:rPr>
                <w:sz w:val="18"/>
                <w:szCs w:val="18"/>
              </w:rPr>
              <w:t>[</w:t>
            </w:r>
            <w:r w:rsidR="00965E84" w:rsidRPr="00965E84">
              <w:rPr>
                <w:sz w:val="18"/>
                <w:szCs w:val="18"/>
              </w:rPr>
              <w:t>c</w:t>
            </w:r>
            <w:r w:rsidR="00A362FF" w:rsidRPr="00965E84">
              <w:rPr>
                <w:sz w:val="18"/>
                <w:szCs w:val="18"/>
              </w:rPr>
              <w:t>]</w:t>
            </w:r>
            <w:r>
              <w:t xml:space="preserve"> </w:t>
            </w:r>
          </w:p>
        </w:tc>
        <w:tc>
          <w:tcPr>
            <w:tcW w:w="2127" w:type="dxa"/>
          </w:tcPr>
          <w:p w:rsidR="000E4BE3" w:rsidRDefault="000E4BE3" w:rsidP="000E4BE3">
            <w:pPr>
              <w:jc w:val="center"/>
            </w:pPr>
            <w:r>
              <w:t>4</w:t>
            </w:r>
          </w:p>
        </w:tc>
        <w:tc>
          <w:tcPr>
            <w:tcW w:w="1023" w:type="dxa"/>
          </w:tcPr>
          <w:p w:rsidR="000E4BE3" w:rsidRDefault="000E4BE3" w:rsidP="000E4BE3">
            <w:pPr>
              <w:jc w:val="center"/>
            </w:pPr>
            <w:r>
              <w:t>7</w:t>
            </w:r>
          </w:p>
        </w:tc>
        <w:tc>
          <w:tcPr>
            <w:tcW w:w="2095" w:type="dxa"/>
          </w:tcPr>
          <w:p w:rsidR="000E4BE3" w:rsidRDefault="000E4BE3" w:rsidP="000E4BE3">
            <w:pPr>
              <w:jc w:val="center"/>
            </w:pPr>
            <w:r>
              <w:t>15</w:t>
            </w:r>
          </w:p>
        </w:tc>
        <w:tc>
          <w:tcPr>
            <w:tcW w:w="1591" w:type="dxa"/>
          </w:tcPr>
          <w:p w:rsidR="000E4BE3" w:rsidRDefault="000E4BE3" w:rsidP="000E4BE3">
            <w:pPr>
              <w:jc w:val="center"/>
            </w:pPr>
            <w:r>
              <w:t>13</w:t>
            </w:r>
          </w:p>
        </w:tc>
      </w:tr>
    </w:tbl>
    <w:p w:rsidR="006C51B0" w:rsidRDefault="006C51B0" w:rsidP="00EE75BB">
      <w:pPr>
        <w:spacing w:after="0" w:line="240" w:lineRule="auto"/>
        <w:jc w:val="both"/>
      </w:pPr>
      <w:r>
        <w:t>[</w:t>
      </w:r>
      <w:proofErr w:type="gramStart"/>
      <w:r w:rsidR="00965E84">
        <w:t>a</w:t>
      </w:r>
      <w:proofErr w:type="gramEnd"/>
      <w:r>
        <w:t xml:space="preserve">] </w:t>
      </w:r>
      <w:r w:rsidR="007645C0">
        <w:t>perte attendue des revenus lors d'une perte d'emploi</w:t>
      </w:r>
      <w:r w:rsidR="00A362FF">
        <w:t xml:space="preserve"> </w:t>
      </w:r>
      <w:r>
        <w:t>[</w:t>
      </w:r>
      <w:r w:rsidR="00965E84">
        <w:t>b</w:t>
      </w:r>
      <w:r>
        <w:t xml:space="preserve">] </w:t>
      </w:r>
      <w:r w:rsidR="007645C0">
        <w:t xml:space="preserve">taux de chômage </w:t>
      </w:r>
      <w:r>
        <w:t xml:space="preserve">depuis </w:t>
      </w:r>
      <w:r w:rsidR="007645C0">
        <w:t>un an ou plus</w:t>
      </w:r>
    </w:p>
    <w:p w:rsidR="000E4BE3" w:rsidRDefault="00A362FF" w:rsidP="00EE75BB">
      <w:pPr>
        <w:spacing w:after="0" w:line="240" w:lineRule="auto"/>
        <w:jc w:val="both"/>
      </w:pPr>
      <w:r>
        <w:t>[</w:t>
      </w:r>
      <w:proofErr w:type="gramStart"/>
      <w:r w:rsidR="00965E84">
        <w:t>c</w:t>
      </w:r>
      <w:proofErr w:type="gramEnd"/>
      <w:r>
        <w:t xml:space="preserve">] sur les 38 pays de l'OCDE. </w:t>
      </w:r>
      <w:r w:rsidRPr="000E4BE3">
        <w:t xml:space="preserve"> </w:t>
      </w:r>
      <w:r w:rsidR="000E4BE3" w:rsidRPr="000E4BE3">
        <w:t xml:space="preserve">Données extraites le 27 </w:t>
      </w:r>
      <w:r w:rsidR="00965E84">
        <w:t>février</w:t>
      </w:r>
      <w:r w:rsidR="000E4BE3" w:rsidRPr="000E4BE3">
        <w:t xml:space="preserve"> 2019 de </w:t>
      </w:r>
      <w:hyperlink r:id="rId10" w:tgtFrame="_blank" w:history="1">
        <w:proofErr w:type="spellStart"/>
        <w:r w:rsidR="000E4BE3" w:rsidRPr="000E4BE3">
          <w:rPr>
            <w:rStyle w:val="Lienhypertexte"/>
            <w:color w:val="auto"/>
          </w:rPr>
          <w:t>OECD.Stat</w:t>
        </w:r>
        <w:proofErr w:type="spellEnd"/>
      </w:hyperlink>
    </w:p>
    <w:p w:rsidR="00BA7FD3" w:rsidRPr="000E4BE3" w:rsidRDefault="00BA7FD3" w:rsidP="00EE75BB">
      <w:pPr>
        <w:spacing w:after="0" w:line="240" w:lineRule="auto"/>
        <w:jc w:val="both"/>
      </w:pPr>
    </w:p>
    <w:p w:rsidR="00EF0B42" w:rsidRPr="00E94ABB" w:rsidRDefault="00EF0B42" w:rsidP="00FB35B9">
      <w:pPr>
        <w:spacing w:after="0" w:line="240" w:lineRule="auto"/>
        <w:jc w:val="both"/>
        <w:rPr>
          <w:b/>
        </w:rPr>
      </w:pPr>
      <w:r w:rsidRPr="00E94ABB">
        <w:rPr>
          <w:b/>
        </w:rPr>
        <w:t xml:space="preserve">Annexe </w:t>
      </w:r>
      <w:r w:rsidR="000E4BE3">
        <w:rPr>
          <w:b/>
        </w:rPr>
        <w:t>5</w:t>
      </w:r>
      <w:r w:rsidRPr="00E94ABB">
        <w:rPr>
          <w:b/>
        </w:rPr>
        <w:t xml:space="preserve"> : le marché du travail</w:t>
      </w:r>
      <w:r w:rsidR="00744FF7" w:rsidRPr="00E94ABB">
        <w:rPr>
          <w:b/>
        </w:rPr>
        <w:t xml:space="preserve"> allemand</w:t>
      </w:r>
      <w:r w:rsidR="00213167">
        <w:rPr>
          <w:b/>
        </w:rPr>
        <w:t xml:space="preserve"> en 2018</w:t>
      </w:r>
    </w:p>
    <w:p w:rsidR="004F34A3" w:rsidRDefault="007015E9" w:rsidP="00FB35B9">
      <w:pPr>
        <w:spacing w:after="0" w:line="240" w:lineRule="auto"/>
        <w:jc w:val="both"/>
      </w:pPr>
      <w:r>
        <w:rPr>
          <w:noProof/>
          <w:lang w:eastAsia="fr-FR"/>
        </w:rPr>
        <w:drawing>
          <wp:inline distT="0" distB="0" distL="0" distR="0">
            <wp:extent cx="5760720" cy="3310333"/>
            <wp:effectExtent l="1905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5760720" cy="3310333"/>
                    </a:xfrm>
                    <a:prstGeom prst="rect">
                      <a:avLst/>
                    </a:prstGeom>
                    <a:noFill/>
                    <a:ln w="9525">
                      <a:noFill/>
                      <a:miter lim="800000"/>
                      <a:headEnd/>
                      <a:tailEnd/>
                    </a:ln>
                  </pic:spPr>
                </pic:pic>
              </a:graphicData>
            </a:graphic>
          </wp:inline>
        </w:drawing>
      </w:r>
    </w:p>
    <w:p w:rsidR="00A362FF" w:rsidRDefault="00A362FF" w:rsidP="00FB35B9">
      <w:pPr>
        <w:spacing w:after="0" w:line="240" w:lineRule="auto"/>
        <w:jc w:val="both"/>
      </w:pPr>
    </w:p>
    <w:p w:rsidR="00A362FF" w:rsidRDefault="00A362FF" w:rsidP="00FB35B9">
      <w:pPr>
        <w:spacing w:after="0" w:line="240" w:lineRule="auto"/>
        <w:jc w:val="both"/>
        <w:rPr>
          <w:b/>
        </w:rPr>
      </w:pPr>
      <w:r w:rsidRPr="00A362FF">
        <w:rPr>
          <w:b/>
        </w:rPr>
        <w:t xml:space="preserve">Annexe 6 : Les travailleurs pauvres </w:t>
      </w:r>
      <w:r w:rsidR="002A459C">
        <w:rPr>
          <w:b/>
        </w:rPr>
        <w:t>dans l'Union européenne</w:t>
      </w:r>
      <w:r w:rsidR="007D5B2C">
        <w:rPr>
          <w:b/>
        </w:rPr>
        <w:t xml:space="preserve"> (en %)</w:t>
      </w:r>
    </w:p>
    <w:p w:rsidR="007D5B2C" w:rsidRPr="00A362FF" w:rsidRDefault="007D5B2C" w:rsidP="00FB35B9">
      <w:pPr>
        <w:spacing w:after="0" w:line="240" w:lineRule="auto"/>
        <w:jc w:val="both"/>
        <w:rPr>
          <w:b/>
        </w:rPr>
      </w:pPr>
    </w:p>
    <w:tbl>
      <w:tblPr>
        <w:tblStyle w:val="Grilledutableau"/>
        <w:tblW w:w="0" w:type="auto"/>
        <w:tblLook w:val="04A0" w:firstRow="1" w:lastRow="0" w:firstColumn="1" w:lastColumn="0" w:noHBand="0" w:noVBand="1"/>
      </w:tblPr>
      <w:tblGrid>
        <w:gridCol w:w="2303"/>
        <w:gridCol w:w="2303"/>
        <w:gridCol w:w="2303"/>
        <w:gridCol w:w="2303"/>
      </w:tblGrid>
      <w:tr w:rsidR="007D5B2C" w:rsidTr="007D5B2C">
        <w:tc>
          <w:tcPr>
            <w:tcW w:w="2303" w:type="dxa"/>
          </w:tcPr>
          <w:p w:rsidR="007D5B2C" w:rsidRDefault="007D5B2C" w:rsidP="00FB35B9">
            <w:pPr>
              <w:jc w:val="both"/>
            </w:pPr>
          </w:p>
        </w:tc>
        <w:tc>
          <w:tcPr>
            <w:tcW w:w="2303" w:type="dxa"/>
          </w:tcPr>
          <w:p w:rsidR="007D5B2C" w:rsidRDefault="007D5B2C" w:rsidP="007D5B2C">
            <w:pPr>
              <w:jc w:val="center"/>
            </w:pPr>
            <w:r>
              <w:t>Taux en 2005</w:t>
            </w:r>
          </w:p>
        </w:tc>
        <w:tc>
          <w:tcPr>
            <w:tcW w:w="2303" w:type="dxa"/>
          </w:tcPr>
          <w:p w:rsidR="007D5B2C" w:rsidRDefault="007D5B2C" w:rsidP="007D5B2C">
            <w:pPr>
              <w:jc w:val="center"/>
            </w:pPr>
            <w:r>
              <w:t>Taux en 2010</w:t>
            </w:r>
          </w:p>
        </w:tc>
        <w:tc>
          <w:tcPr>
            <w:tcW w:w="2303" w:type="dxa"/>
          </w:tcPr>
          <w:p w:rsidR="007D5B2C" w:rsidRDefault="007D5B2C" w:rsidP="007D5B2C">
            <w:pPr>
              <w:jc w:val="center"/>
            </w:pPr>
            <w:r>
              <w:t>Taux en 2015</w:t>
            </w:r>
          </w:p>
        </w:tc>
      </w:tr>
      <w:tr w:rsidR="007D5B2C" w:rsidTr="007D5B2C">
        <w:tc>
          <w:tcPr>
            <w:tcW w:w="2303" w:type="dxa"/>
          </w:tcPr>
          <w:p w:rsidR="007D5B2C" w:rsidRDefault="007D5B2C" w:rsidP="00FB35B9">
            <w:pPr>
              <w:jc w:val="both"/>
            </w:pPr>
            <w:r>
              <w:t>Grèce</w:t>
            </w:r>
          </w:p>
        </w:tc>
        <w:tc>
          <w:tcPr>
            <w:tcW w:w="2303" w:type="dxa"/>
          </w:tcPr>
          <w:p w:rsidR="007D5B2C" w:rsidRDefault="007D5B2C" w:rsidP="007D5B2C">
            <w:pPr>
              <w:jc w:val="center"/>
            </w:pPr>
            <w:r>
              <w:t>13.8</w:t>
            </w:r>
          </w:p>
        </w:tc>
        <w:tc>
          <w:tcPr>
            <w:tcW w:w="2303" w:type="dxa"/>
          </w:tcPr>
          <w:p w:rsidR="007D5B2C" w:rsidRDefault="007D5B2C" w:rsidP="007D5B2C">
            <w:pPr>
              <w:jc w:val="center"/>
            </w:pPr>
            <w:r>
              <w:t>11.9</w:t>
            </w:r>
          </w:p>
        </w:tc>
        <w:tc>
          <w:tcPr>
            <w:tcW w:w="2303" w:type="dxa"/>
          </w:tcPr>
          <w:p w:rsidR="007D5B2C" w:rsidRDefault="007D5B2C" w:rsidP="007D5B2C">
            <w:pPr>
              <w:jc w:val="center"/>
            </w:pPr>
            <w:r>
              <w:t>14.1</w:t>
            </w:r>
          </w:p>
        </w:tc>
      </w:tr>
      <w:tr w:rsidR="007D5B2C" w:rsidRPr="007D5B2C" w:rsidTr="007D5B2C">
        <w:tc>
          <w:tcPr>
            <w:tcW w:w="2303" w:type="dxa"/>
          </w:tcPr>
          <w:p w:rsidR="007D5B2C" w:rsidRPr="007D5B2C" w:rsidRDefault="007D5B2C" w:rsidP="00FB35B9">
            <w:pPr>
              <w:jc w:val="both"/>
              <w:rPr>
                <w:b/>
              </w:rPr>
            </w:pPr>
            <w:r w:rsidRPr="007D5B2C">
              <w:rPr>
                <w:b/>
              </w:rPr>
              <w:t>Union Européenne</w:t>
            </w:r>
          </w:p>
        </w:tc>
        <w:tc>
          <w:tcPr>
            <w:tcW w:w="2303" w:type="dxa"/>
          </w:tcPr>
          <w:p w:rsidR="007D5B2C" w:rsidRPr="007D5B2C" w:rsidRDefault="007D5B2C" w:rsidP="007D5B2C">
            <w:pPr>
              <w:jc w:val="center"/>
              <w:rPr>
                <w:b/>
              </w:rPr>
            </w:pPr>
            <w:r>
              <w:rPr>
                <w:b/>
              </w:rPr>
              <w:t>8.1</w:t>
            </w:r>
          </w:p>
        </w:tc>
        <w:tc>
          <w:tcPr>
            <w:tcW w:w="2303" w:type="dxa"/>
          </w:tcPr>
          <w:p w:rsidR="007D5B2C" w:rsidRPr="007D5B2C" w:rsidRDefault="007D5B2C" w:rsidP="007D5B2C">
            <w:pPr>
              <w:jc w:val="center"/>
              <w:rPr>
                <w:b/>
              </w:rPr>
            </w:pPr>
            <w:r>
              <w:rPr>
                <w:b/>
              </w:rPr>
              <w:t>8.8</w:t>
            </w:r>
          </w:p>
        </w:tc>
        <w:tc>
          <w:tcPr>
            <w:tcW w:w="2303" w:type="dxa"/>
          </w:tcPr>
          <w:p w:rsidR="007D5B2C" w:rsidRPr="007D5B2C" w:rsidRDefault="007D5B2C" w:rsidP="007D5B2C">
            <w:pPr>
              <w:jc w:val="center"/>
              <w:rPr>
                <w:b/>
              </w:rPr>
            </w:pPr>
            <w:r>
              <w:rPr>
                <w:b/>
              </w:rPr>
              <w:t>9.6</w:t>
            </w:r>
          </w:p>
        </w:tc>
      </w:tr>
      <w:tr w:rsidR="007D5B2C" w:rsidTr="007D5B2C">
        <w:tc>
          <w:tcPr>
            <w:tcW w:w="2303" w:type="dxa"/>
          </w:tcPr>
          <w:p w:rsidR="007D5B2C" w:rsidRDefault="007D5B2C" w:rsidP="00FB35B9">
            <w:pPr>
              <w:jc w:val="both"/>
            </w:pPr>
            <w:r>
              <w:t>Allemagne</w:t>
            </w:r>
          </w:p>
        </w:tc>
        <w:tc>
          <w:tcPr>
            <w:tcW w:w="2303" w:type="dxa"/>
          </w:tcPr>
          <w:p w:rsidR="007D5B2C" w:rsidRDefault="007D5B2C" w:rsidP="007D5B2C">
            <w:pPr>
              <w:jc w:val="center"/>
            </w:pPr>
            <w:r>
              <w:t>5.5</w:t>
            </w:r>
          </w:p>
        </w:tc>
        <w:tc>
          <w:tcPr>
            <w:tcW w:w="2303" w:type="dxa"/>
          </w:tcPr>
          <w:p w:rsidR="007D5B2C" w:rsidRDefault="007D5B2C" w:rsidP="007D5B2C">
            <w:pPr>
              <w:jc w:val="center"/>
            </w:pPr>
            <w:r>
              <w:t>7.7</w:t>
            </w:r>
          </w:p>
        </w:tc>
        <w:tc>
          <w:tcPr>
            <w:tcW w:w="2303" w:type="dxa"/>
          </w:tcPr>
          <w:p w:rsidR="007D5B2C" w:rsidRDefault="007D5B2C" w:rsidP="007D5B2C">
            <w:pPr>
              <w:jc w:val="center"/>
            </w:pPr>
            <w:r>
              <w:t>9.5</w:t>
            </w:r>
          </w:p>
        </w:tc>
      </w:tr>
      <w:tr w:rsidR="007D5B2C" w:rsidTr="007D5B2C">
        <w:tc>
          <w:tcPr>
            <w:tcW w:w="2303" w:type="dxa"/>
          </w:tcPr>
          <w:p w:rsidR="007D5B2C" w:rsidRDefault="007D5B2C" w:rsidP="00FB35B9">
            <w:pPr>
              <w:jc w:val="both"/>
            </w:pPr>
            <w:r>
              <w:t>France</w:t>
            </w:r>
          </w:p>
        </w:tc>
        <w:tc>
          <w:tcPr>
            <w:tcW w:w="2303" w:type="dxa"/>
          </w:tcPr>
          <w:p w:rsidR="007D5B2C" w:rsidRDefault="007D5B2C" w:rsidP="007D5B2C">
            <w:pPr>
              <w:jc w:val="center"/>
            </w:pPr>
            <w:r>
              <w:t>6.0</w:t>
            </w:r>
          </w:p>
        </w:tc>
        <w:tc>
          <w:tcPr>
            <w:tcW w:w="2303" w:type="dxa"/>
          </w:tcPr>
          <w:p w:rsidR="007D5B2C" w:rsidRDefault="007D5B2C" w:rsidP="007D5B2C">
            <w:pPr>
              <w:jc w:val="center"/>
            </w:pPr>
            <w:r>
              <w:t>7.6</w:t>
            </w:r>
          </w:p>
        </w:tc>
        <w:tc>
          <w:tcPr>
            <w:tcW w:w="2303" w:type="dxa"/>
          </w:tcPr>
          <w:p w:rsidR="007D5B2C" w:rsidRDefault="007D5B2C" w:rsidP="007D5B2C">
            <w:pPr>
              <w:jc w:val="center"/>
            </w:pPr>
            <w:r>
              <w:t>7.9</w:t>
            </w:r>
          </w:p>
        </w:tc>
      </w:tr>
      <w:tr w:rsidR="007D5B2C" w:rsidTr="007D5B2C">
        <w:tc>
          <w:tcPr>
            <w:tcW w:w="2303" w:type="dxa"/>
          </w:tcPr>
          <w:p w:rsidR="007D5B2C" w:rsidRDefault="007D5B2C" w:rsidP="00FB35B9">
            <w:pPr>
              <w:jc w:val="both"/>
            </w:pPr>
            <w:r>
              <w:t>Finlande</w:t>
            </w:r>
          </w:p>
        </w:tc>
        <w:tc>
          <w:tcPr>
            <w:tcW w:w="2303" w:type="dxa"/>
          </w:tcPr>
          <w:p w:rsidR="007D5B2C" w:rsidRDefault="007D5B2C" w:rsidP="007D5B2C">
            <w:pPr>
              <w:jc w:val="center"/>
            </w:pPr>
            <w:r>
              <w:t>4.5</w:t>
            </w:r>
          </w:p>
        </w:tc>
        <w:tc>
          <w:tcPr>
            <w:tcW w:w="2303" w:type="dxa"/>
          </w:tcPr>
          <w:p w:rsidR="007D5B2C" w:rsidRDefault="007D5B2C" w:rsidP="007D5B2C">
            <w:pPr>
              <w:jc w:val="center"/>
            </w:pPr>
            <w:r>
              <w:t>3.9</w:t>
            </w:r>
          </w:p>
        </w:tc>
        <w:tc>
          <w:tcPr>
            <w:tcW w:w="2303" w:type="dxa"/>
          </w:tcPr>
          <w:p w:rsidR="007D5B2C" w:rsidRDefault="007D5B2C" w:rsidP="007D5B2C">
            <w:pPr>
              <w:jc w:val="center"/>
            </w:pPr>
            <w:r>
              <w:t>3.1</w:t>
            </w:r>
          </w:p>
        </w:tc>
      </w:tr>
    </w:tbl>
    <w:p w:rsidR="00A362FF" w:rsidRDefault="007D5B2C" w:rsidP="00FB35B9">
      <w:pPr>
        <w:spacing w:after="0" w:line="240" w:lineRule="auto"/>
        <w:jc w:val="both"/>
      </w:pPr>
      <w:r>
        <w:t>Seuil de pauvreté à 60 % du revenu médian.</w:t>
      </w:r>
    </w:p>
    <w:p w:rsidR="007D5B2C" w:rsidRPr="007D5B2C" w:rsidRDefault="007D5B2C" w:rsidP="00FB35B9">
      <w:pPr>
        <w:spacing w:after="0" w:line="240" w:lineRule="auto"/>
        <w:jc w:val="both"/>
        <w:rPr>
          <w:i/>
        </w:rPr>
      </w:pPr>
      <w:r w:rsidRPr="007D5B2C">
        <w:rPr>
          <w:i/>
        </w:rPr>
        <w:t>Source : Eurostat - Observatoire des inégalités</w:t>
      </w:r>
    </w:p>
    <w:sectPr w:rsidR="007D5B2C" w:rsidRPr="007D5B2C" w:rsidSect="004B48F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359A9" w:rsidRDefault="00D359A9" w:rsidP="00A76017">
      <w:pPr>
        <w:spacing w:after="0" w:line="240" w:lineRule="auto"/>
      </w:pPr>
      <w:r>
        <w:separator/>
      </w:r>
    </w:p>
  </w:endnote>
  <w:endnote w:type="continuationSeparator" w:id="0">
    <w:p w:rsidR="00D359A9" w:rsidRDefault="00D359A9" w:rsidP="00A76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5531486"/>
      <w:docPartObj>
        <w:docPartGallery w:val="Page Numbers (Bottom of Page)"/>
        <w:docPartUnique/>
      </w:docPartObj>
    </w:sdtPr>
    <w:sdtEndPr/>
    <w:sdtContent>
      <w:p w:rsidR="00020FAB" w:rsidRDefault="008D3EF8">
        <w:pPr>
          <w:pStyle w:val="Pieddepage"/>
          <w:jc w:val="center"/>
        </w:pPr>
        <w:r>
          <w:fldChar w:fldCharType="begin"/>
        </w:r>
        <w:r>
          <w:instrText xml:space="preserve"> PAGE   \* MERGEFORMAT </w:instrText>
        </w:r>
        <w:r>
          <w:fldChar w:fldCharType="separate"/>
        </w:r>
        <w:r w:rsidR="00FD7689">
          <w:rPr>
            <w:noProof/>
          </w:rPr>
          <w:t>1</w:t>
        </w:r>
        <w:r>
          <w:rPr>
            <w:noProof/>
          </w:rPr>
          <w:fldChar w:fldCharType="end"/>
        </w:r>
      </w:p>
    </w:sdtContent>
  </w:sdt>
  <w:p w:rsidR="00020FAB" w:rsidRDefault="00020F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359A9" w:rsidRDefault="00D359A9" w:rsidP="00A76017">
      <w:pPr>
        <w:spacing w:after="0" w:line="240" w:lineRule="auto"/>
      </w:pPr>
      <w:r>
        <w:separator/>
      </w:r>
    </w:p>
  </w:footnote>
  <w:footnote w:type="continuationSeparator" w:id="0">
    <w:p w:rsidR="00D359A9" w:rsidRDefault="00D359A9" w:rsidP="00A76017">
      <w:pPr>
        <w:spacing w:after="0" w:line="240" w:lineRule="auto"/>
      </w:pPr>
      <w:r>
        <w:continuationSeparator/>
      </w:r>
    </w:p>
  </w:footnote>
  <w:footnote w:id="1">
    <w:p w:rsidR="00020FAB" w:rsidRPr="00A76017" w:rsidRDefault="00020FAB" w:rsidP="00A76017">
      <w:pPr>
        <w:spacing w:after="0" w:line="240" w:lineRule="auto"/>
        <w:jc w:val="both"/>
        <w:rPr>
          <w:sz w:val="16"/>
          <w:szCs w:val="16"/>
        </w:rPr>
      </w:pPr>
      <w:r w:rsidRPr="00A76017">
        <w:rPr>
          <w:rStyle w:val="Appelnotedebasdep"/>
          <w:sz w:val="16"/>
          <w:szCs w:val="16"/>
        </w:rPr>
        <w:footnoteRef/>
      </w:r>
      <w:r w:rsidRPr="00A76017">
        <w:rPr>
          <w:sz w:val="16"/>
          <w:szCs w:val="16"/>
        </w:rPr>
        <w:t xml:space="preserve"> </w:t>
      </w:r>
      <w:r w:rsidRPr="00A76017">
        <w:rPr>
          <w:b/>
          <w:sz w:val="16"/>
          <w:szCs w:val="16"/>
        </w:rPr>
        <w:t>logement</w:t>
      </w:r>
      <w:r w:rsidRPr="00A76017">
        <w:rPr>
          <w:sz w:val="16"/>
          <w:szCs w:val="16"/>
        </w:rPr>
        <w:t xml:space="preserve"> (Logements sans équipements sanitaires de base, Coût du logement, Nombre de pièces par personne), </w:t>
      </w:r>
      <w:r w:rsidRPr="00A76017">
        <w:rPr>
          <w:b/>
          <w:sz w:val="16"/>
          <w:szCs w:val="16"/>
        </w:rPr>
        <w:t>Revenu</w:t>
      </w:r>
      <w:r w:rsidRPr="00A76017">
        <w:rPr>
          <w:sz w:val="16"/>
          <w:szCs w:val="16"/>
        </w:rPr>
        <w:t xml:space="preserve"> (Revenu disponible ajusté net des ménages, Patrimoine financier net des ménages), </w:t>
      </w:r>
      <w:r w:rsidRPr="00A76017">
        <w:rPr>
          <w:b/>
          <w:sz w:val="16"/>
          <w:szCs w:val="16"/>
        </w:rPr>
        <w:t>Emploi</w:t>
      </w:r>
      <w:r w:rsidRPr="00A76017">
        <w:rPr>
          <w:sz w:val="16"/>
          <w:szCs w:val="16"/>
        </w:rPr>
        <w:t xml:space="preserve"> (Insécurité sur le marché du travail, Taux d’emploi, Taux de chômage de longue durée, Revenus moyens d’activité), </w:t>
      </w:r>
      <w:r w:rsidRPr="00A76017">
        <w:rPr>
          <w:b/>
          <w:sz w:val="16"/>
          <w:szCs w:val="16"/>
        </w:rPr>
        <w:t>Liens sociaux</w:t>
      </w:r>
      <w:r w:rsidRPr="00A76017">
        <w:rPr>
          <w:sz w:val="16"/>
          <w:szCs w:val="16"/>
        </w:rPr>
        <w:t xml:space="preserve"> (Qualité du réseau social), </w:t>
      </w:r>
      <w:r w:rsidRPr="00A76017">
        <w:rPr>
          <w:b/>
          <w:sz w:val="16"/>
          <w:szCs w:val="16"/>
        </w:rPr>
        <w:t>Enseignement</w:t>
      </w:r>
      <w:r w:rsidRPr="00A76017">
        <w:rPr>
          <w:sz w:val="16"/>
          <w:szCs w:val="16"/>
        </w:rPr>
        <w:t xml:space="preserve"> (Niveau d’instruction, Compétences des élèves, Années de scolarité), </w:t>
      </w:r>
      <w:r w:rsidRPr="00A76017">
        <w:rPr>
          <w:b/>
          <w:sz w:val="16"/>
          <w:szCs w:val="16"/>
        </w:rPr>
        <w:t>Environnement</w:t>
      </w:r>
      <w:r w:rsidRPr="00A76017">
        <w:rPr>
          <w:sz w:val="16"/>
          <w:szCs w:val="16"/>
        </w:rPr>
        <w:t xml:space="preserve"> (Pollution atmosphérique, Qualité de l’eau), </w:t>
      </w:r>
      <w:r w:rsidRPr="00A76017">
        <w:rPr>
          <w:b/>
          <w:sz w:val="16"/>
          <w:szCs w:val="16"/>
        </w:rPr>
        <w:t>Engagement civique</w:t>
      </w:r>
      <w:r w:rsidRPr="00A76017">
        <w:rPr>
          <w:sz w:val="16"/>
          <w:szCs w:val="16"/>
        </w:rPr>
        <w:t xml:space="preserve"> (Participation des parties prenantes à l’élaboration de la réglementation, Participation électorale), </w:t>
      </w:r>
      <w:r w:rsidRPr="00A76017">
        <w:rPr>
          <w:b/>
          <w:sz w:val="16"/>
          <w:szCs w:val="16"/>
        </w:rPr>
        <w:t>Santé</w:t>
      </w:r>
      <w:r w:rsidRPr="00A76017">
        <w:rPr>
          <w:sz w:val="16"/>
          <w:szCs w:val="16"/>
        </w:rPr>
        <w:t xml:space="preserve"> (Espérance de vie, Auto-évaluation de l’état de santé), </w:t>
      </w:r>
      <w:r w:rsidRPr="00A76017">
        <w:rPr>
          <w:b/>
          <w:sz w:val="16"/>
          <w:szCs w:val="16"/>
        </w:rPr>
        <w:t>Satisfaction</w:t>
      </w:r>
      <w:r w:rsidRPr="00A76017">
        <w:rPr>
          <w:sz w:val="16"/>
          <w:szCs w:val="16"/>
        </w:rPr>
        <w:t xml:space="preserve"> (Satisfaction à l’égard de la vie), </w:t>
      </w:r>
      <w:r w:rsidRPr="00A76017">
        <w:rPr>
          <w:b/>
          <w:sz w:val="16"/>
          <w:szCs w:val="16"/>
        </w:rPr>
        <w:t>Sécurité</w:t>
      </w:r>
      <w:r w:rsidRPr="00A76017">
        <w:rPr>
          <w:sz w:val="16"/>
          <w:szCs w:val="16"/>
        </w:rPr>
        <w:t xml:space="preserve"> (Se sentir en sécurité quand on marche seul la nuit, Taux d’homicides), </w:t>
      </w:r>
      <w:r w:rsidRPr="00A76017">
        <w:rPr>
          <w:b/>
          <w:sz w:val="16"/>
          <w:szCs w:val="16"/>
        </w:rPr>
        <w:t>Equilibre travail-vie</w:t>
      </w:r>
      <w:r w:rsidRPr="00A76017">
        <w:rPr>
          <w:sz w:val="16"/>
          <w:szCs w:val="16"/>
        </w:rPr>
        <w:t xml:space="preserve"> (Horaires de travail lourds, Temps consacré aux loisirs et à soi)</w:t>
      </w:r>
    </w:p>
    <w:p w:rsidR="00020FAB" w:rsidRDefault="00020FAB">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w:pict>
  </w:numPicBullet>
  <w:numPicBullet w:numPicBulletId="1">
    <w:pict>
      <v:shape id="_x0000_i1039" type="#_x0000_t75" style="width:3in;height:3in" o:bullet="t"/>
    </w:pict>
  </w:numPicBullet>
  <w:numPicBullet w:numPicBulletId="2">
    <w:pict>
      <v:shape id="_x0000_i1040" type="#_x0000_t75" style="width:3in;height:3in" o:bullet="t"/>
    </w:pict>
  </w:numPicBullet>
  <w:numPicBullet w:numPicBulletId="3">
    <w:pict>
      <v:shape id="_x0000_i1041" type="#_x0000_t75" style="width:3in;height:3in" o:bullet="t"/>
    </w:pict>
  </w:numPicBullet>
  <w:numPicBullet w:numPicBulletId="4">
    <w:pict>
      <v:shape id="_x0000_i1042" type="#_x0000_t75" style="width:3in;height:3in" o:bullet="t"/>
    </w:pict>
  </w:numPicBullet>
  <w:numPicBullet w:numPicBulletId="5">
    <w:pict>
      <v:shape id="_x0000_i1043" type="#_x0000_t75" style="width:3in;height:3in" o:bullet="t"/>
    </w:pict>
  </w:numPicBullet>
  <w:numPicBullet w:numPicBulletId="6">
    <w:pict>
      <v:shape id="_x0000_i1044" type="#_x0000_t75" style="width:3in;height:3in" o:bullet="t"/>
    </w:pict>
  </w:numPicBullet>
  <w:numPicBullet w:numPicBulletId="7">
    <w:pict>
      <v:shape id="_x0000_i1045" type="#_x0000_t75" style="width:3in;height:3in" o:bullet="t"/>
    </w:pict>
  </w:numPicBullet>
  <w:numPicBullet w:numPicBulletId="8">
    <w:pict>
      <v:shape id="_x0000_i1046" type="#_x0000_t75" style="width:3in;height:3in" o:bullet="t"/>
    </w:pict>
  </w:numPicBullet>
  <w:numPicBullet w:numPicBulletId="9">
    <w:pict>
      <v:shape id="_x0000_i1047" type="#_x0000_t75" style="width:3in;height:3in" o:bullet="t"/>
    </w:pict>
  </w:numPicBullet>
  <w:numPicBullet w:numPicBulletId="10">
    <w:pict>
      <v:shape id="_x0000_i1048" type="#_x0000_t75" style="width:3in;height:3in" o:bullet="t"/>
    </w:pict>
  </w:numPicBullet>
  <w:numPicBullet w:numPicBulletId="11">
    <w:pict>
      <v:shape id="_x0000_i1049" type="#_x0000_t75" style="width:3in;height:3in" o:bullet="t"/>
    </w:pict>
  </w:numPicBullet>
  <w:abstractNum w:abstractNumId="0" w15:restartNumberingAfterBreak="0">
    <w:nsid w:val="04F32032"/>
    <w:multiLevelType w:val="multilevel"/>
    <w:tmpl w:val="B1EE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9E30B8"/>
    <w:multiLevelType w:val="multilevel"/>
    <w:tmpl w:val="A274D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E963B7"/>
    <w:multiLevelType w:val="multilevel"/>
    <w:tmpl w:val="47BA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B13628"/>
    <w:multiLevelType w:val="multilevel"/>
    <w:tmpl w:val="C440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PicBulletId w:val="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777174"/>
    <w:multiLevelType w:val="hybridMultilevel"/>
    <w:tmpl w:val="68C4B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8E81E5F"/>
    <w:multiLevelType w:val="multilevel"/>
    <w:tmpl w:val="A058E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0D7D99"/>
    <w:multiLevelType w:val="multilevel"/>
    <w:tmpl w:val="526C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0"/>
      <w:lvlJc w:val="left"/>
      <w:pPr>
        <w:tabs>
          <w:tab w:val="num" w:pos="1440"/>
        </w:tabs>
        <w:ind w:left="1440" w:hanging="360"/>
      </w:pPr>
      <w:rPr>
        <w:rFonts w:ascii="Courier New" w:hAnsi="Courier New" w:hint="default"/>
        <w:sz w:val="20"/>
      </w:rPr>
    </w:lvl>
    <w:lvl w:ilvl="2" w:tentative="1">
      <w:start w:val="1"/>
      <w:numFmt w:val="bullet"/>
      <w:lvlText w:val=""/>
      <w:lvlPicBulletId w:val="1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3"/>
  </w:num>
  <w:num w:numId="4">
    <w:abstractNumId w:val="2"/>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D43"/>
    <w:rsid w:val="00020FAB"/>
    <w:rsid w:val="000338C8"/>
    <w:rsid w:val="0004431F"/>
    <w:rsid w:val="00056BF1"/>
    <w:rsid w:val="00064F42"/>
    <w:rsid w:val="00085343"/>
    <w:rsid w:val="00086F2F"/>
    <w:rsid w:val="00090A8C"/>
    <w:rsid w:val="000A7233"/>
    <w:rsid w:val="000E4BE3"/>
    <w:rsid w:val="00150DAA"/>
    <w:rsid w:val="001A1094"/>
    <w:rsid w:val="001B2DB4"/>
    <w:rsid w:val="001E64EE"/>
    <w:rsid w:val="00213167"/>
    <w:rsid w:val="00230BE8"/>
    <w:rsid w:val="00231B04"/>
    <w:rsid w:val="00244C8B"/>
    <w:rsid w:val="002631A6"/>
    <w:rsid w:val="00286C83"/>
    <w:rsid w:val="002A459C"/>
    <w:rsid w:val="002F6198"/>
    <w:rsid w:val="00320DE1"/>
    <w:rsid w:val="0032194E"/>
    <w:rsid w:val="00326087"/>
    <w:rsid w:val="003A49FE"/>
    <w:rsid w:val="004129A2"/>
    <w:rsid w:val="00414A0B"/>
    <w:rsid w:val="00437D70"/>
    <w:rsid w:val="00450A09"/>
    <w:rsid w:val="00476042"/>
    <w:rsid w:val="00493E7C"/>
    <w:rsid w:val="004B40AA"/>
    <w:rsid w:val="004B48F0"/>
    <w:rsid w:val="004C6176"/>
    <w:rsid w:val="004E7E27"/>
    <w:rsid w:val="004F34A3"/>
    <w:rsid w:val="0050223A"/>
    <w:rsid w:val="005042A8"/>
    <w:rsid w:val="00525AE2"/>
    <w:rsid w:val="00586D43"/>
    <w:rsid w:val="00596631"/>
    <w:rsid w:val="005A0A44"/>
    <w:rsid w:val="005B1B4A"/>
    <w:rsid w:val="005D310B"/>
    <w:rsid w:val="00625F36"/>
    <w:rsid w:val="00665112"/>
    <w:rsid w:val="006743CB"/>
    <w:rsid w:val="00691F70"/>
    <w:rsid w:val="006C51B0"/>
    <w:rsid w:val="006F0C48"/>
    <w:rsid w:val="007015E9"/>
    <w:rsid w:val="0071769B"/>
    <w:rsid w:val="00733AAD"/>
    <w:rsid w:val="00744FF7"/>
    <w:rsid w:val="007645C0"/>
    <w:rsid w:val="007A58C7"/>
    <w:rsid w:val="007B3773"/>
    <w:rsid w:val="007D5B2C"/>
    <w:rsid w:val="0084308F"/>
    <w:rsid w:val="00843362"/>
    <w:rsid w:val="00843FDC"/>
    <w:rsid w:val="00846213"/>
    <w:rsid w:val="00846B24"/>
    <w:rsid w:val="00890EB4"/>
    <w:rsid w:val="00896D53"/>
    <w:rsid w:val="008D3EF8"/>
    <w:rsid w:val="00940FFD"/>
    <w:rsid w:val="00965E84"/>
    <w:rsid w:val="00985879"/>
    <w:rsid w:val="00990C32"/>
    <w:rsid w:val="009E6C5E"/>
    <w:rsid w:val="00A02693"/>
    <w:rsid w:val="00A362FF"/>
    <w:rsid w:val="00A76017"/>
    <w:rsid w:val="00A84218"/>
    <w:rsid w:val="00AE0C31"/>
    <w:rsid w:val="00AE2C06"/>
    <w:rsid w:val="00AF3ECC"/>
    <w:rsid w:val="00B06025"/>
    <w:rsid w:val="00B64D10"/>
    <w:rsid w:val="00B84B4E"/>
    <w:rsid w:val="00BA33B4"/>
    <w:rsid w:val="00BA7FD3"/>
    <w:rsid w:val="00BB0476"/>
    <w:rsid w:val="00BB65A6"/>
    <w:rsid w:val="00BC19A1"/>
    <w:rsid w:val="00BD2690"/>
    <w:rsid w:val="00BE2C3B"/>
    <w:rsid w:val="00BE667E"/>
    <w:rsid w:val="00C17A12"/>
    <w:rsid w:val="00CD268B"/>
    <w:rsid w:val="00CF48FC"/>
    <w:rsid w:val="00D359A9"/>
    <w:rsid w:val="00D4604B"/>
    <w:rsid w:val="00D712F0"/>
    <w:rsid w:val="00DA3CEC"/>
    <w:rsid w:val="00DD1F04"/>
    <w:rsid w:val="00DE4809"/>
    <w:rsid w:val="00DF03A8"/>
    <w:rsid w:val="00DF144F"/>
    <w:rsid w:val="00E20B24"/>
    <w:rsid w:val="00E5430E"/>
    <w:rsid w:val="00E64D5B"/>
    <w:rsid w:val="00E766E7"/>
    <w:rsid w:val="00E87C6D"/>
    <w:rsid w:val="00E93489"/>
    <w:rsid w:val="00E94ABB"/>
    <w:rsid w:val="00EC26DC"/>
    <w:rsid w:val="00EC5168"/>
    <w:rsid w:val="00ED140C"/>
    <w:rsid w:val="00EE75BB"/>
    <w:rsid w:val="00EF0B42"/>
    <w:rsid w:val="00EF66A6"/>
    <w:rsid w:val="00EF6971"/>
    <w:rsid w:val="00EF6E46"/>
    <w:rsid w:val="00EF6E78"/>
    <w:rsid w:val="00F34920"/>
    <w:rsid w:val="00F6472E"/>
    <w:rsid w:val="00FB35B9"/>
    <w:rsid w:val="00FD3259"/>
    <w:rsid w:val="00FD76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8F0"/>
  </w:style>
  <w:style w:type="paragraph" w:styleId="Titre1">
    <w:name w:val="heading 1"/>
    <w:basedOn w:val="Normal"/>
    <w:link w:val="Titre1Car"/>
    <w:uiPriority w:val="9"/>
    <w:qFormat/>
    <w:rsid w:val="00150DAA"/>
    <w:pPr>
      <w:spacing w:after="0" w:line="240" w:lineRule="auto"/>
      <w:outlineLvl w:val="0"/>
    </w:pPr>
    <w:rPr>
      <w:rFonts w:ascii="Times New Roman" w:eastAsia="Times New Roman" w:hAnsi="Times New Roman" w:cs="Times New Roman"/>
      <w:b/>
      <w:bCs/>
      <w:kern w:val="36"/>
      <w:sz w:val="48"/>
      <w:szCs w:val="48"/>
      <w:lang w:eastAsia="fr-FR"/>
    </w:rPr>
  </w:style>
  <w:style w:type="paragraph" w:styleId="Titre3">
    <w:name w:val="heading 3"/>
    <w:basedOn w:val="Normal"/>
    <w:next w:val="Normal"/>
    <w:link w:val="Titre3Car"/>
    <w:uiPriority w:val="9"/>
    <w:semiHidden/>
    <w:unhideWhenUsed/>
    <w:qFormat/>
    <w:rsid w:val="007A58C7"/>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B35B9"/>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B35B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50DAA"/>
    <w:rPr>
      <w:rFonts w:ascii="Times New Roman" w:eastAsia="Times New Roman" w:hAnsi="Times New Roman" w:cs="Times New Roman"/>
      <w:b/>
      <w:bCs/>
      <w:kern w:val="36"/>
      <w:sz w:val="48"/>
      <w:szCs w:val="48"/>
      <w:lang w:eastAsia="fr-FR"/>
    </w:rPr>
  </w:style>
  <w:style w:type="paragraph" w:customStyle="1" w:styleId="articledesc">
    <w:name w:val="article__desc"/>
    <w:basedOn w:val="Normal"/>
    <w:rsid w:val="00150DAA"/>
    <w:pPr>
      <w:spacing w:after="0" w:line="240" w:lineRule="auto"/>
    </w:pPr>
    <w:rPr>
      <w:rFonts w:ascii="Georgia" w:eastAsia="Times New Roman" w:hAnsi="Georgia" w:cs="Times New Roman"/>
      <w:vanish/>
      <w:color w:val="2A303B"/>
      <w:sz w:val="24"/>
      <w:szCs w:val="24"/>
      <w:lang w:eastAsia="fr-FR"/>
    </w:rPr>
  </w:style>
  <w:style w:type="paragraph" w:customStyle="1" w:styleId="meta">
    <w:name w:val="meta"/>
    <w:basedOn w:val="Normal"/>
    <w:rsid w:val="00150DAA"/>
    <w:pPr>
      <w:spacing w:after="0" w:line="240" w:lineRule="auto"/>
    </w:pPr>
    <w:rPr>
      <w:rFonts w:ascii="Helvetica" w:eastAsia="Times New Roman" w:hAnsi="Helvetica" w:cs="Helvetica"/>
      <w:sz w:val="24"/>
      <w:szCs w:val="24"/>
      <w:lang w:eastAsia="fr-FR"/>
    </w:rPr>
  </w:style>
  <w:style w:type="character" w:customStyle="1" w:styleId="metaauthor">
    <w:name w:val="meta__author"/>
    <w:basedOn w:val="Policepardfaut"/>
    <w:rsid w:val="00150DAA"/>
  </w:style>
  <w:style w:type="character" w:customStyle="1" w:styleId="metadate">
    <w:name w:val="meta__date"/>
    <w:basedOn w:val="Policepardfaut"/>
    <w:rsid w:val="00150DAA"/>
  </w:style>
  <w:style w:type="character" w:styleId="Lienhypertexte">
    <w:name w:val="Hyperlink"/>
    <w:basedOn w:val="Policepardfaut"/>
    <w:uiPriority w:val="99"/>
    <w:semiHidden/>
    <w:unhideWhenUsed/>
    <w:rsid w:val="00150DAA"/>
    <w:rPr>
      <w:rFonts w:ascii="inherit" w:hAnsi="inherit" w:hint="default"/>
      <w:strike w:val="0"/>
      <w:dstrike w:val="0"/>
      <w:color w:val="0000FF"/>
      <w:u w:val="none"/>
      <w:effect w:val="none"/>
    </w:rPr>
  </w:style>
  <w:style w:type="paragraph" w:styleId="NormalWeb">
    <w:name w:val="Normal (Web)"/>
    <w:basedOn w:val="Normal"/>
    <w:uiPriority w:val="99"/>
    <w:semiHidden/>
    <w:unhideWhenUsed/>
    <w:rsid w:val="00150DAA"/>
    <w:pPr>
      <w:spacing w:after="0" w:line="240" w:lineRule="auto"/>
    </w:pPr>
    <w:rPr>
      <w:rFonts w:ascii="Times New Roman" w:eastAsia="Times New Roman" w:hAnsi="Times New Roman" w:cs="Times New Roman"/>
      <w:sz w:val="24"/>
      <w:szCs w:val="24"/>
      <w:lang w:eastAsia="fr-FR"/>
    </w:rPr>
  </w:style>
  <w:style w:type="character" w:customStyle="1" w:styleId="authordetail2">
    <w:name w:val="author__detail2"/>
    <w:basedOn w:val="Policepardfaut"/>
    <w:rsid w:val="00150DAA"/>
  </w:style>
  <w:style w:type="character" w:customStyle="1" w:styleId="authorname1">
    <w:name w:val="author__name1"/>
    <w:basedOn w:val="Policepardfaut"/>
    <w:rsid w:val="00150DAA"/>
    <w:rPr>
      <w:b/>
      <w:bCs/>
      <w:color w:val="383F4E"/>
    </w:rPr>
  </w:style>
  <w:style w:type="paragraph" w:customStyle="1" w:styleId="inserttitle">
    <w:name w:val="insert__title"/>
    <w:basedOn w:val="Normal"/>
    <w:rsid w:val="00150DAA"/>
    <w:pPr>
      <w:spacing w:after="0" w:line="240" w:lineRule="auto"/>
    </w:pPr>
    <w:rPr>
      <w:rFonts w:ascii="Times New Roman" w:eastAsia="Times New Roman" w:hAnsi="Times New Roman" w:cs="Times New Roman"/>
      <w:sz w:val="24"/>
      <w:szCs w:val="24"/>
      <w:lang w:eastAsia="fr-FR"/>
    </w:rPr>
  </w:style>
  <w:style w:type="paragraph" w:customStyle="1" w:styleId="insertdate">
    <w:name w:val="insert__date"/>
    <w:basedOn w:val="Normal"/>
    <w:rsid w:val="00150DAA"/>
    <w:pPr>
      <w:spacing w:after="0" w:line="240" w:lineRule="auto"/>
    </w:pPr>
    <w:rPr>
      <w:rFonts w:ascii="Times New Roman" w:eastAsia="Times New Roman" w:hAnsi="Times New Roman" w:cs="Times New Roman"/>
      <w:sz w:val="24"/>
      <w:szCs w:val="24"/>
      <w:lang w:eastAsia="fr-FR"/>
    </w:rPr>
  </w:style>
  <w:style w:type="character" w:customStyle="1" w:styleId="insertsubtitle2">
    <w:name w:val="insert__subtitle2"/>
    <w:basedOn w:val="Policepardfaut"/>
    <w:rsid w:val="00150DAA"/>
  </w:style>
  <w:style w:type="paragraph" w:styleId="Textedebulles">
    <w:name w:val="Balloon Text"/>
    <w:basedOn w:val="Normal"/>
    <w:link w:val="TextedebullesCar"/>
    <w:uiPriority w:val="99"/>
    <w:semiHidden/>
    <w:unhideWhenUsed/>
    <w:rsid w:val="00150DA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0DAA"/>
    <w:rPr>
      <w:rFonts w:ascii="Tahoma" w:hAnsi="Tahoma" w:cs="Tahoma"/>
      <w:sz w:val="16"/>
      <w:szCs w:val="16"/>
    </w:rPr>
  </w:style>
  <w:style w:type="character" w:customStyle="1" w:styleId="Titre4Car">
    <w:name w:val="Titre 4 Car"/>
    <w:basedOn w:val="Policepardfaut"/>
    <w:link w:val="Titre4"/>
    <w:uiPriority w:val="9"/>
    <w:semiHidden/>
    <w:rsid w:val="00FB35B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B35B9"/>
    <w:rPr>
      <w:rFonts w:asciiTheme="majorHAnsi" w:eastAsiaTheme="majorEastAsia" w:hAnsiTheme="majorHAnsi" w:cstheme="majorBidi"/>
      <w:color w:val="243F60" w:themeColor="accent1" w:themeShade="7F"/>
    </w:rPr>
  </w:style>
  <w:style w:type="paragraph" w:customStyle="1" w:styleId="pagearticlecontentinfoart">
    <w:name w:val="pagearticlecontent__infoart"/>
    <w:basedOn w:val="Normal"/>
    <w:rsid w:val="00EE75BB"/>
    <w:pPr>
      <w:spacing w:before="150" w:after="225" w:line="240" w:lineRule="auto"/>
    </w:pPr>
    <w:rPr>
      <w:rFonts w:ascii="Times New Roman" w:eastAsia="Times New Roman" w:hAnsi="Times New Roman" w:cs="Times New Roman"/>
      <w:color w:val="444444"/>
      <w:sz w:val="18"/>
      <w:szCs w:val="18"/>
      <w:lang w:eastAsia="fr-FR"/>
    </w:rPr>
  </w:style>
  <w:style w:type="paragraph" w:customStyle="1" w:styleId="alerttagtitle">
    <w:name w:val="alerttag__title"/>
    <w:basedOn w:val="Normal"/>
    <w:rsid w:val="00EE75BB"/>
    <w:pPr>
      <w:spacing w:after="0" w:line="240" w:lineRule="auto"/>
      <w:jc w:val="center"/>
    </w:pPr>
    <w:rPr>
      <w:rFonts w:ascii="Times New Roman" w:eastAsia="Times New Roman" w:hAnsi="Times New Roman" w:cs="Times New Roman"/>
      <w:b/>
      <w:bCs/>
      <w:sz w:val="33"/>
      <w:szCs w:val="33"/>
      <w:lang w:eastAsia="fr-FR"/>
    </w:rPr>
  </w:style>
  <w:style w:type="paragraph" w:customStyle="1" w:styleId="alerttagsubtitle">
    <w:name w:val="alerttag__subtitle"/>
    <w:basedOn w:val="Normal"/>
    <w:rsid w:val="00EE75BB"/>
    <w:pPr>
      <w:spacing w:before="300" w:after="0" w:line="240" w:lineRule="auto"/>
      <w:jc w:val="center"/>
    </w:pPr>
    <w:rPr>
      <w:rFonts w:ascii="Times New Roman" w:eastAsia="Times New Roman" w:hAnsi="Times New Roman" w:cs="Times New Roman"/>
      <w:sz w:val="24"/>
      <w:szCs w:val="24"/>
      <w:lang w:eastAsia="fr-FR"/>
    </w:rPr>
  </w:style>
  <w:style w:type="paragraph" w:customStyle="1" w:styleId="is-aligncenter">
    <w:name w:val="is-aligncenter"/>
    <w:basedOn w:val="Normal"/>
    <w:rsid w:val="00EE75BB"/>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character" w:customStyle="1" w:styleId="pagearticlecontentauteur1">
    <w:name w:val="pagearticlecontent__auteur1"/>
    <w:basedOn w:val="Policepardfaut"/>
    <w:rsid w:val="00EE75BB"/>
    <w:rPr>
      <w:color w:val="444444"/>
    </w:rPr>
  </w:style>
  <w:style w:type="character" w:customStyle="1" w:styleId="pagearticlecontentdate1">
    <w:name w:val="pagearticlecontent__date1"/>
    <w:basedOn w:val="Policepardfaut"/>
    <w:rsid w:val="00EE75BB"/>
    <w:rPr>
      <w:color w:val="AAAAAA"/>
      <w:sz w:val="18"/>
      <w:szCs w:val="18"/>
    </w:rPr>
  </w:style>
  <w:style w:type="character" w:customStyle="1" w:styleId="pagearticlecontenttag1">
    <w:name w:val="pagearticlecontent__tag1"/>
    <w:basedOn w:val="Policepardfaut"/>
    <w:rsid w:val="00EE75BB"/>
    <w:rPr>
      <w:b/>
      <w:bCs/>
      <w:color w:val="E30613"/>
      <w:sz w:val="18"/>
      <w:szCs w:val="18"/>
    </w:rPr>
  </w:style>
  <w:style w:type="paragraph" w:styleId="z-Hautduformulaire">
    <w:name w:val="HTML Top of Form"/>
    <w:basedOn w:val="Normal"/>
    <w:next w:val="Normal"/>
    <w:link w:val="z-HautduformulaireCar"/>
    <w:hidden/>
    <w:uiPriority w:val="99"/>
    <w:semiHidden/>
    <w:unhideWhenUsed/>
    <w:rsid w:val="00EE75BB"/>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EE75BB"/>
    <w:rPr>
      <w:rFonts w:ascii="Arial" w:eastAsia="Times New Roman" w:hAnsi="Arial" w:cs="Arial"/>
      <w:vanish/>
      <w:sz w:val="16"/>
      <w:szCs w:val="16"/>
      <w:lang w:eastAsia="fr-FR"/>
    </w:rPr>
  </w:style>
  <w:style w:type="character" w:customStyle="1" w:styleId="is-valignmiddle1">
    <w:name w:val="is-valignmiddle1"/>
    <w:basedOn w:val="Policepardfaut"/>
    <w:rsid w:val="00EE75BB"/>
  </w:style>
  <w:style w:type="paragraph" w:styleId="z-Basduformulaire">
    <w:name w:val="HTML Bottom of Form"/>
    <w:basedOn w:val="Normal"/>
    <w:next w:val="Normal"/>
    <w:link w:val="z-BasduformulaireCar"/>
    <w:hidden/>
    <w:uiPriority w:val="99"/>
    <w:semiHidden/>
    <w:unhideWhenUsed/>
    <w:rsid w:val="00EE75BB"/>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EE75BB"/>
    <w:rPr>
      <w:rFonts w:ascii="Arial" w:eastAsia="Times New Roman" w:hAnsi="Arial" w:cs="Arial"/>
      <w:vanish/>
      <w:sz w:val="16"/>
      <w:szCs w:val="16"/>
      <w:lang w:eastAsia="fr-FR"/>
    </w:rPr>
  </w:style>
  <w:style w:type="table" w:styleId="Grilledutableau">
    <w:name w:val="Table Grid"/>
    <w:basedOn w:val="TableauNormal"/>
    <w:uiPriority w:val="59"/>
    <w:rsid w:val="00502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0223A"/>
    <w:pPr>
      <w:ind w:left="720"/>
      <w:contextualSpacing/>
    </w:pPr>
  </w:style>
  <w:style w:type="character" w:styleId="lev">
    <w:name w:val="Strong"/>
    <w:basedOn w:val="Policepardfaut"/>
    <w:uiPriority w:val="22"/>
    <w:qFormat/>
    <w:rsid w:val="007B3773"/>
    <w:rPr>
      <w:b/>
      <w:bCs/>
    </w:rPr>
  </w:style>
  <w:style w:type="character" w:styleId="Accentuation">
    <w:name w:val="Emphasis"/>
    <w:basedOn w:val="Policepardfaut"/>
    <w:uiPriority w:val="20"/>
    <w:qFormat/>
    <w:rsid w:val="007B3773"/>
    <w:rPr>
      <w:i/>
      <w:iCs/>
    </w:rPr>
  </w:style>
  <w:style w:type="character" w:customStyle="1" w:styleId="authordesc2">
    <w:name w:val="author__desc2"/>
    <w:basedOn w:val="Policepardfaut"/>
    <w:rsid w:val="007B3773"/>
    <w:rPr>
      <w:color w:val="717B8E"/>
    </w:rPr>
  </w:style>
  <w:style w:type="character" w:customStyle="1" w:styleId="Titre3Car">
    <w:name w:val="Titre 3 Car"/>
    <w:basedOn w:val="Policepardfaut"/>
    <w:link w:val="Titre3"/>
    <w:uiPriority w:val="9"/>
    <w:semiHidden/>
    <w:rsid w:val="007A58C7"/>
    <w:rPr>
      <w:rFonts w:asciiTheme="majorHAnsi" w:eastAsiaTheme="majorEastAsia" w:hAnsiTheme="majorHAnsi" w:cstheme="majorBidi"/>
      <w:b/>
      <w:bCs/>
      <w:color w:val="4F81BD" w:themeColor="accent1"/>
    </w:rPr>
  </w:style>
  <w:style w:type="character" w:customStyle="1" w:styleId="hidden-impression-information-rapide">
    <w:name w:val="hidden-impression-information-rapide"/>
    <w:basedOn w:val="Policepardfaut"/>
    <w:rsid w:val="007A58C7"/>
  </w:style>
  <w:style w:type="paragraph" w:styleId="Notedebasdepage">
    <w:name w:val="footnote text"/>
    <w:basedOn w:val="Normal"/>
    <w:link w:val="NotedebasdepageCar"/>
    <w:uiPriority w:val="99"/>
    <w:semiHidden/>
    <w:unhideWhenUsed/>
    <w:rsid w:val="00A7601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76017"/>
    <w:rPr>
      <w:sz w:val="20"/>
      <w:szCs w:val="20"/>
    </w:rPr>
  </w:style>
  <w:style w:type="character" w:styleId="Appelnotedebasdep">
    <w:name w:val="footnote reference"/>
    <w:basedOn w:val="Policepardfaut"/>
    <w:uiPriority w:val="99"/>
    <w:semiHidden/>
    <w:unhideWhenUsed/>
    <w:rsid w:val="00A76017"/>
    <w:rPr>
      <w:vertAlign w:val="superscript"/>
    </w:rPr>
  </w:style>
  <w:style w:type="paragraph" w:styleId="En-tte">
    <w:name w:val="header"/>
    <w:basedOn w:val="Normal"/>
    <w:link w:val="En-tteCar"/>
    <w:uiPriority w:val="99"/>
    <w:unhideWhenUsed/>
    <w:rsid w:val="00A362FF"/>
    <w:pPr>
      <w:tabs>
        <w:tab w:val="center" w:pos="4536"/>
        <w:tab w:val="right" w:pos="9072"/>
      </w:tabs>
      <w:spacing w:after="0" w:line="240" w:lineRule="auto"/>
    </w:pPr>
  </w:style>
  <w:style w:type="character" w:customStyle="1" w:styleId="En-tteCar">
    <w:name w:val="En-tête Car"/>
    <w:basedOn w:val="Policepardfaut"/>
    <w:link w:val="En-tte"/>
    <w:uiPriority w:val="99"/>
    <w:rsid w:val="00A362FF"/>
  </w:style>
  <w:style w:type="paragraph" w:styleId="Pieddepage">
    <w:name w:val="footer"/>
    <w:basedOn w:val="Normal"/>
    <w:link w:val="PieddepageCar"/>
    <w:uiPriority w:val="99"/>
    <w:unhideWhenUsed/>
    <w:rsid w:val="00A362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6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855978">
      <w:bodyDiv w:val="1"/>
      <w:marLeft w:val="0"/>
      <w:marRight w:val="0"/>
      <w:marTop w:val="0"/>
      <w:marBottom w:val="0"/>
      <w:divBdr>
        <w:top w:val="none" w:sz="0" w:space="0" w:color="auto"/>
        <w:left w:val="none" w:sz="0" w:space="0" w:color="auto"/>
        <w:bottom w:val="none" w:sz="0" w:space="0" w:color="auto"/>
        <w:right w:val="none" w:sz="0" w:space="0" w:color="auto"/>
      </w:divBdr>
      <w:divsChild>
        <w:div w:id="1690376024">
          <w:marLeft w:val="0"/>
          <w:marRight w:val="0"/>
          <w:marTop w:val="0"/>
          <w:marBottom w:val="0"/>
          <w:divBdr>
            <w:top w:val="none" w:sz="0" w:space="0" w:color="auto"/>
            <w:left w:val="none" w:sz="0" w:space="0" w:color="auto"/>
            <w:bottom w:val="none" w:sz="0" w:space="0" w:color="auto"/>
            <w:right w:val="none" w:sz="0" w:space="0" w:color="auto"/>
          </w:divBdr>
          <w:divsChild>
            <w:div w:id="818695246">
              <w:marLeft w:val="0"/>
              <w:marRight w:val="0"/>
              <w:marTop w:val="0"/>
              <w:marBottom w:val="0"/>
              <w:divBdr>
                <w:top w:val="none" w:sz="0" w:space="0" w:color="auto"/>
                <w:left w:val="none" w:sz="0" w:space="0" w:color="auto"/>
                <w:bottom w:val="none" w:sz="0" w:space="0" w:color="auto"/>
                <w:right w:val="none" w:sz="0" w:space="0" w:color="auto"/>
              </w:divBdr>
              <w:divsChild>
                <w:div w:id="1023895307">
                  <w:marLeft w:val="0"/>
                  <w:marRight w:val="0"/>
                  <w:marTop w:val="0"/>
                  <w:marBottom w:val="0"/>
                  <w:divBdr>
                    <w:top w:val="none" w:sz="0" w:space="0" w:color="auto"/>
                    <w:left w:val="none" w:sz="0" w:space="0" w:color="auto"/>
                    <w:bottom w:val="none" w:sz="0" w:space="0" w:color="auto"/>
                    <w:right w:val="none" w:sz="0" w:space="0" w:color="auto"/>
                  </w:divBdr>
                  <w:divsChild>
                    <w:div w:id="359016796">
                      <w:marLeft w:val="0"/>
                      <w:marRight w:val="0"/>
                      <w:marTop w:val="0"/>
                      <w:marBottom w:val="0"/>
                      <w:divBdr>
                        <w:top w:val="none" w:sz="0" w:space="0" w:color="auto"/>
                        <w:left w:val="none" w:sz="0" w:space="0" w:color="auto"/>
                        <w:bottom w:val="none" w:sz="0" w:space="0" w:color="auto"/>
                        <w:right w:val="none" w:sz="0" w:space="0" w:color="auto"/>
                      </w:divBdr>
                      <w:divsChild>
                        <w:div w:id="1515654329">
                          <w:marLeft w:val="0"/>
                          <w:marRight w:val="0"/>
                          <w:marTop w:val="0"/>
                          <w:marBottom w:val="0"/>
                          <w:divBdr>
                            <w:top w:val="none" w:sz="0" w:space="0" w:color="auto"/>
                            <w:left w:val="none" w:sz="0" w:space="0" w:color="auto"/>
                            <w:bottom w:val="none" w:sz="0" w:space="0" w:color="auto"/>
                            <w:right w:val="none" w:sz="0" w:space="0" w:color="auto"/>
                          </w:divBdr>
                          <w:divsChild>
                            <w:div w:id="1469979262">
                              <w:marLeft w:val="0"/>
                              <w:marRight w:val="0"/>
                              <w:marTop w:val="0"/>
                              <w:marBottom w:val="0"/>
                              <w:divBdr>
                                <w:top w:val="none" w:sz="0" w:space="0" w:color="auto"/>
                                <w:left w:val="none" w:sz="0" w:space="0" w:color="auto"/>
                                <w:bottom w:val="none" w:sz="0" w:space="0" w:color="auto"/>
                                <w:right w:val="none" w:sz="0" w:space="0" w:color="auto"/>
                              </w:divBdr>
                              <w:divsChild>
                                <w:div w:id="78173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25598">
      <w:bodyDiv w:val="1"/>
      <w:marLeft w:val="0"/>
      <w:marRight w:val="0"/>
      <w:marTop w:val="0"/>
      <w:marBottom w:val="0"/>
      <w:divBdr>
        <w:top w:val="none" w:sz="0" w:space="0" w:color="auto"/>
        <w:left w:val="none" w:sz="0" w:space="0" w:color="auto"/>
        <w:bottom w:val="none" w:sz="0" w:space="0" w:color="auto"/>
        <w:right w:val="none" w:sz="0" w:space="0" w:color="auto"/>
      </w:divBdr>
      <w:divsChild>
        <w:div w:id="1726485022">
          <w:marLeft w:val="0"/>
          <w:marRight w:val="0"/>
          <w:marTop w:val="0"/>
          <w:marBottom w:val="0"/>
          <w:divBdr>
            <w:top w:val="none" w:sz="0" w:space="0" w:color="auto"/>
            <w:left w:val="none" w:sz="0" w:space="0" w:color="auto"/>
            <w:bottom w:val="none" w:sz="0" w:space="0" w:color="auto"/>
            <w:right w:val="none" w:sz="0" w:space="0" w:color="auto"/>
          </w:divBdr>
          <w:divsChild>
            <w:div w:id="1629555135">
              <w:marLeft w:val="0"/>
              <w:marRight w:val="0"/>
              <w:marTop w:val="0"/>
              <w:marBottom w:val="0"/>
              <w:divBdr>
                <w:top w:val="none" w:sz="0" w:space="0" w:color="auto"/>
                <w:left w:val="none" w:sz="0" w:space="0" w:color="auto"/>
                <w:bottom w:val="none" w:sz="0" w:space="0" w:color="auto"/>
                <w:right w:val="none" w:sz="0" w:space="0" w:color="auto"/>
              </w:divBdr>
              <w:divsChild>
                <w:div w:id="160201095">
                  <w:marLeft w:val="0"/>
                  <w:marRight w:val="0"/>
                  <w:marTop w:val="0"/>
                  <w:marBottom w:val="0"/>
                  <w:divBdr>
                    <w:top w:val="none" w:sz="0" w:space="0" w:color="auto"/>
                    <w:left w:val="none" w:sz="0" w:space="0" w:color="auto"/>
                    <w:bottom w:val="none" w:sz="0" w:space="0" w:color="auto"/>
                    <w:right w:val="none" w:sz="0" w:space="0" w:color="auto"/>
                  </w:divBdr>
                  <w:divsChild>
                    <w:div w:id="37750261">
                      <w:marLeft w:val="0"/>
                      <w:marRight w:val="0"/>
                      <w:marTop w:val="0"/>
                      <w:marBottom w:val="0"/>
                      <w:divBdr>
                        <w:top w:val="none" w:sz="0" w:space="0" w:color="auto"/>
                        <w:left w:val="none" w:sz="0" w:space="0" w:color="auto"/>
                        <w:bottom w:val="none" w:sz="0" w:space="0" w:color="auto"/>
                        <w:right w:val="none" w:sz="0" w:space="0" w:color="auto"/>
                      </w:divBdr>
                      <w:divsChild>
                        <w:div w:id="224534934">
                          <w:marLeft w:val="-2595"/>
                          <w:marRight w:val="0"/>
                          <w:marTop w:val="0"/>
                          <w:marBottom w:val="0"/>
                          <w:divBdr>
                            <w:top w:val="none" w:sz="0" w:space="0" w:color="auto"/>
                            <w:left w:val="none" w:sz="0" w:space="0" w:color="auto"/>
                            <w:bottom w:val="none" w:sz="0" w:space="0" w:color="auto"/>
                            <w:right w:val="none" w:sz="0" w:space="0" w:color="auto"/>
                          </w:divBdr>
                          <w:divsChild>
                            <w:div w:id="1115370086">
                              <w:marLeft w:val="0"/>
                              <w:marRight w:val="0"/>
                              <w:marTop w:val="0"/>
                              <w:marBottom w:val="0"/>
                              <w:divBdr>
                                <w:top w:val="none" w:sz="0" w:space="0" w:color="auto"/>
                                <w:left w:val="none" w:sz="0" w:space="0" w:color="auto"/>
                                <w:bottom w:val="none" w:sz="0" w:space="0" w:color="auto"/>
                                <w:right w:val="none" w:sz="0" w:space="0" w:color="auto"/>
                              </w:divBdr>
                              <w:divsChild>
                                <w:div w:id="273176841">
                                  <w:marLeft w:val="0"/>
                                  <w:marRight w:val="0"/>
                                  <w:marTop w:val="0"/>
                                  <w:marBottom w:val="0"/>
                                  <w:divBdr>
                                    <w:top w:val="none" w:sz="0" w:space="0" w:color="auto"/>
                                    <w:left w:val="none" w:sz="0" w:space="0" w:color="auto"/>
                                    <w:bottom w:val="none" w:sz="0" w:space="0" w:color="auto"/>
                                    <w:right w:val="none" w:sz="0" w:space="0" w:color="auto"/>
                                  </w:divBdr>
                                  <w:divsChild>
                                    <w:div w:id="2105224199">
                                      <w:marLeft w:val="0"/>
                                      <w:marRight w:val="0"/>
                                      <w:marTop w:val="0"/>
                                      <w:marBottom w:val="0"/>
                                      <w:divBdr>
                                        <w:top w:val="none" w:sz="0" w:space="0" w:color="auto"/>
                                        <w:left w:val="none" w:sz="0" w:space="0" w:color="auto"/>
                                        <w:bottom w:val="none" w:sz="0" w:space="0" w:color="auto"/>
                                        <w:right w:val="none" w:sz="0" w:space="0" w:color="auto"/>
                                      </w:divBdr>
                                      <w:divsChild>
                                        <w:div w:id="1963806719">
                                          <w:marLeft w:val="300"/>
                                          <w:marRight w:val="300"/>
                                          <w:marTop w:val="0"/>
                                          <w:marBottom w:val="0"/>
                                          <w:divBdr>
                                            <w:top w:val="none" w:sz="0" w:space="0" w:color="auto"/>
                                            <w:left w:val="none" w:sz="0" w:space="0" w:color="auto"/>
                                            <w:bottom w:val="none" w:sz="0" w:space="0" w:color="auto"/>
                                            <w:right w:val="none" w:sz="0" w:space="0" w:color="auto"/>
                                          </w:divBdr>
                                          <w:divsChild>
                                            <w:div w:id="1188787915">
                                              <w:marLeft w:val="0"/>
                                              <w:marRight w:val="0"/>
                                              <w:marTop w:val="0"/>
                                              <w:marBottom w:val="0"/>
                                              <w:divBdr>
                                                <w:top w:val="none" w:sz="0" w:space="0" w:color="auto"/>
                                                <w:left w:val="none" w:sz="0" w:space="0" w:color="auto"/>
                                                <w:bottom w:val="none" w:sz="0" w:space="0" w:color="auto"/>
                                                <w:right w:val="none" w:sz="0" w:space="0" w:color="auto"/>
                                              </w:divBdr>
                                              <w:divsChild>
                                                <w:div w:id="1376781544">
                                                  <w:marLeft w:val="0"/>
                                                  <w:marRight w:val="0"/>
                                                  <w:marTop w:val="0"/>
                                                  <w:marBottom w:val="0"/>
                                                  <w:divBdr>
                                                    <w:top w:val="none" w:sz="0" w:space="0" w:color="auto"/>
                                                    <w:left w:val="none" w:sz="0" w:space="0" w:color="auto"/>
                                                    <w:bottom w:val="none" w:sz="0" w:space="0" w:color="auto"/>
                                                    <w:right w:val="none" w:sz="0" w:space="0" w:color="auto"/>
                                                  </w:divBdr>
                                                  <w:divsChild>
                                                    <w:div w:id="187210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800053">
      <w:bodyDiv w:val="1"/>
      <w:marLeft w:val="0"/>
      <w:marRight w:val="0"/>
      <w:marTop w:val="0"/>
      <w:marBottom w:val="0"/>
      <w:divBdr>
        <w:top w:val="none" w:sz="0" w:space="0" w:color="auto"/>
        <w:left w:val="none" w:sz="0" w:space="0" w:color="auto"/>
        <w:bottom w:val="none" w:sz="0" w:space="0" w:color="auto"/>
        <w:right w:val="none" w:sz="0" w:space="0" w:color="auto"/>
      </w:divBdr>
      <w:divsChild>
        <w:div w:id="326439154">
          <w:marLeft w:val="0"/>
          <w:marRight w:val="0"/>
          <w:marTop w:val="0"/>
          <w:marBottom w:val="0"/>
          <w:divBdr>
            <w:top w:val="none" w:sz="0" w:space="0" w:color="auto"/>
            <w:left w:val="none" w:sz="0" w:space="0" w:color="auto"/>
            <w:bottom w:val="none" w:sz="0" w:space="0" w:color="auto"/>
            <w:right w:val="none" w:sz="0" w:space="0" w:color="auto"/>
          </w:divBdr>
        </w:div>
      </w:divsChild>
    </w:div>
    <w:div w:id="735057791">
      <w:bodyDiv w:val="1"/>
      <w:marLeft w:val="0"/>
      <w:marRight w:val="0"/>
      <w:marTop w:val="0"/>
      <w:marBottom w:val="0"/>
      <w:divBdr>
        <w:top w:val="none" w:sz="0" w:space="0" w:color="auto"/>
        <w:left w:val="none" w:sz="0" w:space="0" w:color="auto"/>
        <w:bottom w:val="none" w:sz="0" w:space="0" w:color="auto"/>
        <w:right w:val="none" w:sz="0" w:space="0" w:color="auto"/>
      </w:divBdr>
      <w:divsChild>
        <w:div w:id="1944148913">
          <w:marLeft w:val="0"/>
          <w:marRight w:val="0"/>
          <w:marTop w:val="0"/>
          <w:marBottom w:val="0"/>
          <w:divBdr>
            <w:top w:val="none" w:sz="0" w:space="0" w:color="auto"/>
            <w:left w:val="none" w:sz="0" w:space="0" w:color="auto"/>
            <w:bottom w:val="none" w:sz="0" w:space="0" w:color="auto"/>
            <w:right w:val="none" w:sz="0" w:space="0" w:color="auto"/>
          </w:divBdr>
          <w:divsChild>
            <w:div w:id="1021398108">
              <w:marLeft w:val="0"/>
              <w:marRight w:val="0"/>
              <w:marTop w:val="0"/>
              <w:marBottom w:val="0"/>
              <w:divBdr>
                <w:top w:val="none" w:sz="0" w:space="0" w:color="auto"/>
                <w:left w:val="none" w:sz="0" w:space="0" w:color="auto"/>
                <w:bottom w:val="none" w:sz="0" w:space="0" w:color="auto"/>
                <w:right w:val="none" w:sz="0" w:space="0" w:color="auto"/>
              </w:divBdr>
              <w:divsChild>
                <w:div w:id="1288005721">
                  <w:marLeft w:val="0"/>
                  <w:marRight w:val="0"/>
                  <w:marTop w:val="0"/>
                  <w:marBottom w:val="0"/>
                  <w:divBdr>
                    <w:top w:val="none" w:sz="0" w:space="0" w:color="auto"/>
                    <w:left w:val="none" w:sz="0" w:space="0" w:color="auto"/>
                    <w:bottom w:val="none" w:sz="0" w:space="0" w:color="auto"/>
                    <w:right w:val="none" w:sz="0" w:space="0" w:color="auto"/>
                  </w:divBdr>
                  <w:divsChild>
                    <w:div w:id="1075053513">
                      <w:marLeft w:val="0"/>
                      <w:marRight w:val="0"/>
                      <w:marTop w:val="0"/>
                      <w:marBottom w:val="0"/>
                      <w:divBdr>
                        <w:top w:val="none" w:sz="0" w:space="0" w:color="auto"/>
                        <w:left w:val="none" w:sz="0" w:space="0" w:color="auto"/>
                        <w:bottom w:val="none" w:sz="0" w:space="0" w:color="auto"/>
                        <w:right w:val="none" w:sz="0" w:space="0" w:color="auto"/>
                      </w:divBdr>
                      <w:divsChild>
                        <w:div w:id="2087677671">
                          <w:marLeft w:val="-2595"/>
                          <w:marRight w:val="0"/>
                          <w:marTop w:val="0"/>
                          <w:marBottom w:val="0"/>
                          <w:divBdr>
                            <w:top w:val="none" w:sz="0" w:space="0" w:color="auto"/>
                            <w:left w:val="none" w:sz="0" w:space="0" w:color="auto"/>
                            <w:bottom w:val="none" w:sz="0" w:space="0" w:color="auto"/>
                            <w:right w:val="none" w:sz="0" w:space="0" w:color="auto"/>
                          </w:divBdr>
                          <w:divsChild>
                            <w:div w:id="1766801219">
                              <w:marLeft w:val="0"/>
                              <w:marRight w:val="0"/>
                              <w:marTop w:val="0"/>
                              <w:marBottom w:val="0"/>
                              <w:divBdr>
                                <w:top w:val="none" w:sz="0" w:space="0" w:color="auto"/>
                                <w:left w:val="none" w:sz="0" w:space="0" w:color="auto"/>
                                <w:bottom w:val="none" w:sz="0" w:space="0" w:color="auto"/>
                                <w:right w:val="none" w:sz="0" w:space="0" w:color="auto"/>
                              </w:divBdr>
                              <w:divsChild>
                                <w:div w:id="1747342575">
                                  <w:marLeft w:val="0"/>
                                  <w:marRight w:val="0"/>
                                  <w:marTop w:val="0"/>
                                  <w:marBottom w:val="0"/>
                                  <w:divBdr>
                                    <w:top w:val="none" w:sz="0" w:space="0" w:color="auto"/>
                                    <w:left w:val="none" w:sz="0" w:space="0" w:color="auto"/>
                                    <w:bottom w:val="none" w:sz="0" w:space="0" w:color="auto"/>
                                    <w:right w:val="none" w:sz="0" w:space="0" w:color="auto"/>
                                  </w:divBdr>
                                  <w:divsChild>
                                    <w:div w:id="1428966221">
                                      <w:marLeft w:val="0"/>
                                      <w:marRight w:val="0"/>
                                      <w:marTop w:val="0"/>
                                      <w:marBottom w:val="0"/>
                                      <w:divBdr>
                                        <w:top w:val="none" w:sz="0" w:space="0" w:color="auto"/>
                                        <w:left w:val="none" w:sz="0" w:space="0" w:color="auto"/>
                                        <w:bottom w:val="none" w:sz="0" w:space="0" w:color="auto"/>
                                        <w:right w:val="none" w:sz="0" w:space="0" w:color="auto"/>
                                      </w:divBdr>
                                      <w:divsChild>
                                        <w:div w:id="124659937">
                                          <w:marLeft w:val="300"/>
                                          <w:marRight w:val="300"/>
                                          <w:marTop w:val="0"/>
                                          <w:marBottom w:val="0"/>
                                          <w:divBdr>
                                            <w:top w:val="none" w:sz="0" w:space="0" w:color="auto"/>
                                            <w:left w:val="none" w:sz="0" w:space="0" w:color="auto"/>
                                            <w:bottom w:val="none" w:sz="0" w:space="0" w:color="auto"/>
                                            <w:right w:val="none" w:sz="0" w:space="0" w:color="auto"/>
                                          </w:divBdr>
                                          <w:divsChild>
                                            <w:div w:id="2010405584">
                                              <w:marLeft w:val="0"/>
                                              <w:marRight w:val="0"/>
                                              <w:marTop w:val="0"/>
                                              <w:marBottom w:val="0"/>
                                              <w:divBdr>
                                                <w:top w:val="none" w:sz="0" w:space="0" w:color="auto"/>
                                                <w:left w:val="none" w:sz="0" w:space="0" w:color="auto"/>
                                                <w:bottom w:val="none" w:sz="0" w:space="0" w:color="auto"/>
                                                <w:right w:val="none" w:sz="0" w:space="0" w:color="auto"/>
                                              </w:divBdr>
                                              <w:divsChild>
                                                <w:div w:id="1076128718">
                                                  <w:marLeft w:val="0"/>
                                                  <w:marRight w:val="0"/>
                                                  <w:marTop w:val="0"/>
                                                  <w:marBottom w:val="0"/>
                                                  <w:divBdr>
                                                    <w:top w:val="none" w:sz="0" w:space="0" w:color="auto"/>
                                                    <w:left w:val="none" w:sz="0" w:space="0" w:color="auto"/>
                                                    <w:bottom w:val="none" w:sz="0" w:space="0" w:color="auto"/>
                                                    <w:right w:val="none" w:sz="0" w:space="0" w:color="auto"/>
                                                  </w:divBdr>
                                                  <w:divsChild>
                                                    <w:div w:id="123509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2985894">
      <w:bodyDiv w:val="1"/>
      <w:marLeft w:val="0"/>
      <w:marRight w:val="0"/>
      <w:marTop w:val="0"/>
      <w:marBottom w:val="0"/>
      <w:divBdr>
        <w:top w:val="none" w:sz="0" w:space="0" w:color="auto"/>
        <w:left w:val="none" w:sz="0" w:space="0" w:color="auto"/>
        <w:bottom w:val="none" w:sz="0" w:space="0" w:color="auto"/>
        <w:right w:val="none" w:sz="0" w:space="0" w:color="auto"/>
      </w:divBdr>
      <w:divsChild>
        <w:div w:id="2124613800">
          <w:marLeft w:val="0"/>
          <w:marRight w:val="0"/>
          <w:marTop w:val="1095"/>
          <w:marBottom w:val="0"/>
          <w:divBdr>
            <w:top w:val="none" w:sz="0" w:space="0" w:color="auto"/>
            <w:left w:val="none" w:sz="0" w:space="0" w:color="auto"/>
            <w:bottom w:val="none" w:sz="0" w:space="0" w:color="auto"/>
            <w:right w:val="none" w:sz="0" w:space="0" w:color="auto"/>
          </w:divBdr>
          <w:divsChild>
            <w:div w:id="444930507">
              <w:marLeft w:val="0"/>
              <w:marRight w:val="0"/>
              <w:marTop w:val="0"/>
              <w:marBottom w:val="0"/>
              <w:divBdr>
                <w:top w:val="none" w:sz="0" w:space="0" w:color="auto"/>
                <w:left w:val="none" w:sz="0" w:space="0" w:color="auto"/>
                <w:bottom w:val="none" w:sz="0" w:space="0" w:color="auto"/>
                <w:right w:val="none" w:sz="0" w:space="0" w:color="auto"/>
              </w:divBdr>
              <w:divsChild>
                <w:div w:id="519005892">
                  <w:marLeft w:val="8"/>
                  <w:marRight w:val="4"/>
                  <w:marTop w:val="0"/>
                  <w:marBottom w:val="0"/>
                  <w:divBdr>
                    <w:top w:val="none" w:sz="0" w:space="0" w:color="auto"/>
                    <w:left w:val="none" w:sz="0" w:space="0" w:color="auto"/>
                    <w:bottom w:val="none" w:sz="0" w:space="0" w:color="auto"/>
                    <w:right w:val="none" w:sz="0" w:space="0" w:color="auto"/>
                  </w:divBdr>
                  <w:divsChild>
                    <w:div w:id="1302463282">
                      <w:marLeft w:val="0"/>
                      <w:marRight w:val="0"/>
                      <w:marTop w:val="0"/>
                      <w:marBottom w:val="0"/>
                      <w:divBdr>
                        <w:top w:val="none" w:sz="0" w:space="0" w:color="auto"/>
                        <w:left w:val="none" w:sz="0" w:space="0" w:color="auto"/>
                        <w:bottom w:val="none" w:sz="0" w:space="0" w:color="auto"/>
                        <w:right w:val="none" w:sz="0" w:space="0" w:color="auto"/>
                      </w:divBdr>
                    </w:div>
                    <w:div w:id="387270427">
                      <w:marLeft w:val="0"/>
                      <w:marRight w:val="0"/>
                      <w:marTop w:val="0"/>
                      <w:marBottom w:val="0"/>
                      <w:divBdr>
                        <w:top w:val="none" w:sz="0" w:space="0" w:color="auto"/>
                        <w:left w:val="none" w:sz="0" w:space="0" w:color="auto"/>
                        <w:bottom w:val="none" w:sz="0" w:space="0" w:color="auto"/>
                        <w:right w:val="none" w:sz="0" w:space="0" w:color="auto"/>
                      </w:divBdr>
                      <w:divsChild>
                        <w:div w:id="445665078">
                          <w:marLeft w:val="0"/>
                          <w:marRight w:val="0"/>
                          <w:marTop w:val="0"/>
                          <w:marBottom w:val="0"/>
                          <w:divBdr>
                            <w:top w:val="none" w:sz="0" w:space="0" w:color="auto"/>
                            <w:left w:val="none" w:sz="0" w:space="0" w:color="auto"/>
                            <w:bottom w:val="none" w:sz="0" w:space="0" w:color="auto"/>
                            <w:right w:val="none" w:sz="0" w:space="0" w:color="auto"/>
                          </w:divBdr>
                        </w:div>
                        <w:div w:id="1829787087">
                          <w:marLeft w:val="0"/>
                          <w:marRight w:val="0"/>
                          <w:marTop w:val="0"/>
                          <w:marBottom w:val="0"/>
                          <w:divBdr>
                            <w:top w:val="none" w:sz="0" w:space="0" w:color="auto"/>
                            <w:left w:val="none" w:sz="0" w:space="0" w:color="auto"/>
                            <w:bottom w:val="none" w:sz="0" w:space="0" w:color="auto"/>
                            <w:right w:val="none" w:sz="0" w:space="0" w:color="auto"/>
                          </w:divBdr>
                          <w:divsChild>
                            <w:div w:id="439496909">
                              <w:marLeft w:val="0"/>
                              <w:marRight w:val="225"/>
                              <w:marTop w:val="150"/>
                              <w:marBottom w:val="0"/>
                              <w:divBdr>
                                <w:top w:val="single" w:sz="6" w:space="8" w:color="DCDCDC"/>
                                <w:left w:val="single" w:sz="6" w:space="8" w:color="DCDCDC"/>
                                <w:bottom w:val="single" w:sz="6" w:space="8" w:color="DCDCDC"/>
                                <w:right w:val="single" w:sz="6" w:space="8" w:color="DCDCDC"/>
                              </w:divBdr>
                              <w:divsChild>
                                <w:div w:id="2102797785">
                                  <w:marLeft w:val="0"/>
                                  <w:marRight w:val="0"/>
                                  <w:marTop w:val="0"/>
                                  <w:marBottom w:val="0"/>
                                  <w:divBdr>
                                    <w:top w:val="none" w:sz="0" w:space="0" w:color="auto"/>
                                    <w:left w:val="none" w:sz="0" w:space="0" w:color="auto"/>
                                    <w:bottom w:val="none" w:sz="0" w:space="0" w:color="auto"/>
                                    <w:right w:val="none" w:sz="0" w:space="0" w:color="auto"/>
                                  </w:divBdr>
                                </w:div>
                              </w:divsChild>
                            </w:div>
                            <w:div w:id="984047855">
                              <w:marLeft w:val="0"/>
                              <w:marRight w:val="225"/>
                              <w:marTop w:val="150"/>
                              <w:marBottom w:val="0"/>
                              <w:divBdr>
                                <w:top w:val="single" w:sz="6" w:space="8" w:color="DCDCDC"/>
                                <w:left w:val="single" w:sz="6" w:space="8" w:color="DCDCDC"/>
                                <w:bottom w:val="single" w:sz="6" w:space="8" w:color="DCDCDC"/>
                                <w:right w:val="single" w:sz="6" w:space="8" w:color="DCDCDC"/>
                              </w:divBdr>
                              <w:divsChild>
                                <w:div w:id="1228690846">
                                  <w:marLeft w:val="0"/>
                                  <w:marRight w:val="0"/>
                                  <w:marTop w:val="0"/>
                                  <w:marBottom w:val="0"/>
                                  <w:divBdr>
                                    <w:top w:val="none" w:sz="0" w:space="0" w:color="auto"/>
                                    <w:left w:val="none" w:sz="0" w:space="0" w:color="auto"/>
                                    <w:bottom w:val="none" w:sz="0" w:space="0" w:color="auto"/>
                                    <w:right w:val="none" w:sz="0" w:space="0" w:color="auto"/>
                                  </w:divBdr>
                                </w:div>
                              </w:divsChild>
                            </w:div>
                            <w:div w:id="114118900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6342919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204097662">
      <w:bodyDiv w:val="1"/>
      <w:marLeft w:val="0"/>
      <w:marRight w:val="0"/>
      <w:marTop w:val="0"/>
      <w:marBottom w:val="0"/>
      <w:divBdr>
        <w:top w:val="none" w:sz="0" w:space="0" w:color="auto"/>
        <w:left w:val="none" w:sz="0" w:space="0" w:color="auto"/>
        <w:bottom w:val="none" w:sz="0" w:space="0" w:color="auto"/>
        <w:right w:val="none" w:sz="0" w:space="0" w:color="auto"/>
      </w:divBdr>
      <w:divsChild>
        <w:div w:id="1259563361">
          <w:marLeft w:val="0"/>
          <w:marRight w:val="0"/>
          <w:marTop w:val="1095"/>
          <w:marBottom w:val="0"/>
          <w:divBdr>
            <w:top w:val="none" w:sz="0" w:space="0" w:color="auto"/>
            <w:left w:val="none" w:sz="0" w:space="0" w:color="auto"/>
            <w:bottom w:val="none" w:sz="0" w:space="0" w:color="auto"/>
            <w:right w:val="none" w:sz="0" w:space="0" w:color="auto"/>
          </w:divBdr>
          <w:divsChild>
            <w:div w:id="416177457">
              <w:marLeft w:val="0"/>
              <w:marRight w:val="0"/>
              <w:marTop w:val="0"/>
              <w:marBottom w:val="0"/>
              <w:divBdr>
                <w:top w:val="none" w:sz="0" w:space="0" w:color="auto"/>
                <w:left w:val="none" w:sz="0" w:space="0" w:color="auto"/>
                <w:bottom w:val="none" w:sz="0" w:space="0" w:color="auto"/>
                <w:right w:val="none" w:sz="0" w:space="0" w:color="auto"/>
              </w:divBdr>
              <w:divsChild>
                <w:div w:id="1693144244">
                  <w:marLeft w:val="8"/>
                  <w:marRight w:val="4"/>
                  <w:marTop w:val="0"/>
                  <w:marBottom w:val="0"/>
                  <w:divBdr>
                    <w:top w:val="none" w:sz="0" w:space="0" w:color="auto"/>
                    <w:left w:val="none" w:sz="0" w:space="0" w:color="auto"/>
                    <w:bottom w:val="none" w:sz="0" w:space="0" w:color="auto"/>
                    <w:right w:val="none" w:sz="0" w:space="0" w:color="auto"/>
                  </w:divBdr>
                  <w:divsChild>
                    <w:div w:id="77721818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315378130">
      <w:bodyDiv w:val="1"/>
      <w:marLeft w:val="0"/>
      <w:marRight w:val="0"/>
      <w:marTop w:val="0"/>
      <w:marBottom w:val="0"/>
      <w:divBdr>
        <w:top w:val="none" w:sz="0" w:space="0" w:color="auto"/>
        <w:left w:val="none" w:sz="0" w:space="0" w:color="auto"/>
        <w:bottom w:val="none" w:sz="0" w:space="0" w:color="auto"/>
        <w:right w:val="none" w:sz="0" w:space="0" w:color="auto"/>
      </w:divBdr>
    </w:div>
    <w:div w:id="1443500703">
      <w:bodyDiv w:val="1"/>
      <w:marLeft w:val="0"/>
      <w:marRight w:val="0"/>
      <w:marTop w:val="0"/>
      <w:marBottom w:val="0"/>
      <w:divBdr>
        <w:top w:val="none" w:sz="0" w:space="0" w:color="auto"/>
        <w:left w:val="none" w:sz="0" w:space="0" w:color="auto"/>
        <w:bottom w:val="none" w:sz="0" w:space="0" w:color="auto"/>
        <w:right w:val="none" w:sz="0" w:space="0" w:color="auto"/>
      </w:divBdr>
      <w:divsChild>
        <w:div w:id="568030178">
          <w:marLeft w:val="0"/>
          <w:marRight w:val="0"/>
          <w:marTop w:val="0"/>
          <w:marBottom w:val="0"/>
          <w:divBdr>
            <w:top w:val="none" w:sz="0" w:space="0" w:color="auto"/>
            <w:left w:val="none" w:sz="0" w:space="0" w:color="auto"/>
            <w:bottom w:val="none" w:sz="0" w:space="0" w:color="auto"/>
            <w:right w:val="none" w:sz="0" w:space="0" w:color="auto"/>
          </w:divBdr>
          <w:divsChild>
            <w:div w:id="832842983">
              <w:marLeft w:val="0"/>
              <w:marRight w:val="0"/>
              <w:marTop w:val="0"/>
              <w:marBottom w:val="0"/>
              <w:divBdr>
                <w:top w:val="none" w:sz="0" w:space="0" w:color="auto"/>
                <w:left w:val="none" w:sz="0" w:space="0" w:color="auto"/>
                <w:bottom w:val="none" w:sz="0" w:space="0" w:color="auto"/>
                <w:right w:val="none" w:sz="0" w:space="0" w:color="auto"/>
              </w:divBdr>
              <w:divsChild>
                <w:div w:id="1544056387">
                  <w:marLeft w:val="0"/>
                  <w:marRight w:val="0"/>
                  <w:marTop w:val="0"/>
                  <w:marBottom w:val="0"/>
                  <w:divBdr>
                    <w:top w:val="none" w:sz="0" w:space="0" w:color="auto"/>
                    <w:left w:val="none" w:sz="0" w:space="0" w:color="auto"/>
                    <w:bottom w:val="none" w:sz="0" w:space="0" w:color="auto"/>
                    <w:right w:val="none" w:sz="0" w:space="0" w:color="auto"/>
                  </w:divBdr>
                  <w:divsChild>
                    <w:div w:id="1907911883">
                      <w:marLeft w:val="0"/>
                      <w:marRight w:val="0"/>
                      <w:marTop w:val="0"/>
                      <w:marBottom w:val="0"/>
                      <w:divBdr>
                        <w:top w:val="none" w:sz="0" w:space="0" w:color="auto"/>
                        <w:left w:val="none" w:sz="0" w:space="0" w:color="auto"/>
                        <w:bottom w:val="none" w:sz="0" w:space="0" w:color="auto"/>
                        <w:right w:val="none" w:sz="0" w:space="0" w:color="auto"/>
                      </w:divBdr>
                      <w:divsChild>
                        <w:div w:id="1269239455">
                          <w:marLeft w:val="-2595"/>
                          <w:marRight w:val="0"/>
                          <w:marTop w:val="0"/>
                          <w:marBottom w:val="0"/>
                          <w:divBdr>
                            <w:top w:val="none" w:sz="0" w:space="0" w:color="auto"/>
                            <w:left w:val="none" w:sz="0" w:space="0" w:color="auto"/>
                            <w:bottom w:val="none" w:sz="0" w:space="0" w:color="auto"/>
                            <w:right w:val="none" w:sz="0" w:space="0" w:color="auto"/>
                          </w:divBdr>
                          <w:divsChild>
                            <w:div w:id="1433431493">
                              <w:marLeft w:val="0"/>
                              <w:marRight w:val="0"/>
                              <w:marTop w:val="0"/>
                              <w:marBottom w:val="0"/>
                              <w:divBdr>
                                <w:top w:val="none" w:sz="0" w:space="0" w:color="auto"/>
                                <w:left w:val="none" w:sz="0" w:space="0" w:color="auto"/>
                                <w:bottom w:val="none" w:sz="0" w:space="0" w:color="auto"/>
                                <w:right w:val="none" w:sz="0" w:space="0" w:color="auto"/>
                              </w:divBdr>
                              <w:divsChild>
                                <w:div w:id="1324315595">
                                  <w:marLeft w:val="0"/>
                                  <w:marRight w:val="0"/>
                                  <w:marTop w:val="0"/>
                                  <w:marBottom w:val="0"/>
                                  <w:divBdr>
                                    <w:top w:val="none" w:sz="0" w:space="0" w:color="auto"/>
                                    <w:left w:val="none" w:sz="0" w:space="0" w:color="auto"/>
                                    <w:bottom w:val="none" w:sz="0" w:space="0" w:color="auto"/>
                                    <w:right w:val="none" w:sz="0" w:space="0" w:color="auto"/>
                                  </w:divBdr>
                                  <w:divsChild>
                                    <w:div w:id="1081606473">
                                      <w:marLeft w:val="0"/>
                                      <w:marRight w:val="0"/>
                                      <w:marTop w:val="0"/>
                                      <w:marBottom w:val="0"/>
                                      <w:divBdr>
                                        <w:top w:val="none" w:sz="0" w:space="0" w:color="auto"/>
                                        <w:left w:val="none" w:sz="0" w:space="0" w:color="auto"/>
                                        <w:bottom w:val="none" w:sz="0" w:space="0" w:color="auto"/>
                                        <w:right w:val="none" w:sz="0" w:space="0" w:color="auto"/>
                                      </w:divBdr>
                                      <w:divsChild>
                                        <w:div w:id="1353268130">
                                          <w:marLeft w:val="300"/>
                                          <w:marRight w:val="300"/>
                                          <w:marTop w:val="0"/>
                                          <w:marBottom w:val="0"/>
                                          <w:divBdr>
                                            <w:top w:val="none" w:sz="0" w:space="0" w:color="auto"/>
                                            <w:left w:val="none" w:sz="0" w:space="0" w:color="auto"/>
                                            <w:bottom w:val="none" w:sz="0" w:space="0" w:color="auto"/>
                                            <w:right w:val="none" w:sz="0" w:space="0" w:color="auto"/>
                                          </w:divBdr>
                                          <w:divsChild>
                                            <w:div w:id="151801680">
                                              <w:marLeft w:val="0"/>
                                              <w:marRight w:val="0"/>
                                              <w:marTop w:val="0"/>
                                              <w:marBottom w:val="0"/>
                                              <w:divBdr>
                                                <w:top w:val="none" w:sz="0" w:space="0" w:color="auto"/>
                                                <w:left w:val="none" w:sz="0" w:space="0" w:color="auto"/>
                                                <w:bottom w:val="none" w:sz="0" w:space="0" w:color="auto"/>
                                                <w:right w:val="none" w:sz="0" w:space="0" w:color="auto"/>
                                              </w:divBdr>
                                              <w:divsChild>
                                                <w:div w:id="104427131">
                                                  <w:marLeft w:val="0"/>
                                                  <w:marRight w:val="0"/>
                                                  <w:marTop w:val="0"/>
                                                  <w:marBottom w:val="0"/>
                                                  <w:divBdr>
                                                    <w:top w:val="none" w:sz="0" w:space="0" w:color="auto"/>
                                                    <w:left w:val="none" w:sz="0" w:space="0" w:color="auto"/>
                                                    <w:bottom w:val="none" w:sz="0" w:space="0" w:color="auto"/>
                                                    <w:right w:val="none" w:sz="0" w:space="0" w:color="auto"/>
                                                  </w:divBdr>
                                                  <w:divsChild>
                                                    <w:div w:id="711802896">
                                                      <w:marLeft w:val="0"/>
                                                      <w:marRight w:val="0"/>
                                                      <w:marTop w:val="0"/>
                                                      <w:marBottom w:val="0"/>
                                                      <w:divBdr>
                                                        <w:top w:val="none" w:sz="0" w:space="0" w:color="auto"/>
                                                        <w:left w:val="none" w:sz="0" w:space="0" w:color="auto"/>
                                                        <w:bottom w:val="none" w:sz="0" w:space="0" w:color="auto"/>
                                                        <w:right w:val="none" w:sz="0" w:space="0" w:color="auto"/>
                                                      </w:divBdr>
                                                    </w:div>
                                                    <w:div w:id="171581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7237302">
      <w:bodyDiv w:val="1"/>
      <w:marLeft w:val="0"/>
      <w:marRight w:val="0"/>
      <w:marTop w:val="0"/>
      <w:marBottom w:val="0"/>
      <w:divBdr>
        <w:top w:val="none" w:sz="0" w:space="0" w:color="auto"/>
        <w:left w:val="none" w:sz="0" w:space="0" w:color="auto"/>
        <w:bottom w:val="none" w:sz="0" w:space="0" w:color="auto"/>
        <w:right w:val="none" w:sz="0" w:space="0" w:color="auto"/>
      </w:divBdr>
    </w:div>
    <w:div w:id="1491094045">
      <w:bodyDiv w:val="1"/>
      <w:marLeft w:val="0"/>
      <w:marRight w:val="0"/>
      <w:marTop w:val="0"/>
      <w:marBottom w:val="0"/>
      <w:divBdr>
        <w:top w:val="none" w:sz="0" w:space="0" w:color="auto"/>
        <w:left w:val="none" w:sz="0" w:space="0" w:color="auto"/>
        <w:bottom w:val="none" w:sz="0" w:space="0" w:color="auto"/>
        <w:right w:val="none" w:sz="0" w:space="0" w:color="auto"/>
      </w:divBdr>
      <w:divsChild>
        <w:div w:id="435558267">
          <w:marLeft w:val="0"/>
          <w:marRight w:val="0"/>
          <w:marTop w:val="0"/>
          <w:marBottom w:val="0"/>
          <w:divBdr>
            <w:top w:val="none" w:sz="0" w:space="0" w:color="auto"/>
            <w:left w:val="none" w:sz="0" w:space="0" w:color="auto"/>
            <w:bottom w:val="none" w:sz="0" w:space="0" w:color="auto"/>
            <w:right w:val="none" w:sz="0" w:space="0" w:color="auto"/>
          </w:divBdr>
          <w:divsChild>
            <w:div w:id="925000908">
              <w:marLeft w:val="0"/>
              <w:marRight w:val="0"/>
              <w:marTop w:val="0"/>
              <w:marBottom w:val="0"/>
              <w:divBdr>
                <w:top w:val="none" w:sz="0" w:space="0" w:color="auto"/>
                <w:left w:val="none" w:sz="0" w:space="0" w:color="auto"/>
                <w:bottom w:val="none" w:sz="0" w:space="0" w:color="auto"/>
                <w:right w:val="none" w:sz="0" w:space="0" w:color="auto"/>
              </w:divBdr>
              <w:divsChild>
                <w:div w:id="1379747209">
                  <w:marLeft w:val="0"/>
                  <w:marRight w:val="0"/>
                  <w:marTop w:val="0"/>
                  <w:marBottom w:val="0"/>
                  <w:divBdr>
                    <w:top w:val="none" w:sz="0" w:space="0" w:color="auto"/>
                    <w:left w:val="none" w:sz="0" w:space="0" w:color="auto"/>
                    <w:bottom w:val="none" w:sz="0" w:space="0" w:color="auto"/>
                    <w:right w:val="none" w:sz="0" w:space="0" w:color="auto"/>
                  </w:divBdr>
                  <w:divsChild>
                    <w:div w:id="383410999">
                      <w:marLeft w:val="0"/>
                      <w:marRight w:val="0"/>
                      <w:marTop w:val="0"/>
                      <w:marBottom w:val="0"/>
                      <w:divBdr>
                        <w:top w:val="none" w:sz="0" w:space="0" w:color="auto"/>
                        <w:left w:val="none" w:sz="0" w:space="0" w:color="auto"/>
                        <w:bottom w:val="none" w:sz="0" w:space="0" w:color="auto"/>
                        <w:right w:val="none" w:sz="0" w:space="0" w:color="auto"/>
                      </w:divBdr>
                      <w:divsChild>
                        <w:div w:id="1580018461">
                          <w:marLeft w:val="0"/>
                          <w:marRight w:val="0"/>
                          <w:marTop w:val="0"/>
                          <w:marBottom w:val="0"/>
                          <w:divBdr>
                            <w:top w:val="none" w:sz="0" w:space="0" w:color="auto"/>
                            <w:left w:val="none" w:sz="0" w:space="0" w:color="auto"/>
                            <w:bottom w:val="none" w:sz="0" w:space="0" w:color="auto"/>
                            <w:right w:val="none" w:sz="0" w:space="0" w:color="auto"/>
                          </w:divBdr>
                          <w:divsChild>
                            <w:div w:id="1648895621">
                              <w:marLeft w:val="0"/>
                              <w:marRight w:val="0"/>
                              <w:marTop w:val="0"/>
                              <w:marBottom w:val="0"/>
                              <w:divBdr>
                                <w:top w:val="none" w:sz="0" w:space="0" w:color="auto"/>
                                <w:left w:val="none" w:sz="0" w:space="0" w:color="auto"/>
                                <w:bottom w:val="none" w:sz="0" w:space="0" w:color="auto"/>
                                <w:right w:val="none" w:sz="0" w:space="0" w:color="auto"/>
                              </w:divBdr>
                              <w:divsChild>
                                <w:div w:id="1735422072">
                                  <w:marLeft w:val="0"/>
                                  <w:marRight w:val="0"/>
                                  <w:marTop w:val="0"/>
                                  <w:marBottom w:val="0"/>
                                  <w:divBdr>
                                    <w:top w:val="none" w:sz="0" w:space="0" w:color="auto"/>
                                    <w:left w:val="none" w:sz="0" w:space="0" w:color="auto"/>
                                    <w:bottom w:val="none" w:sz="0" w:space="0" w:color="auto"/>
                                    <w:right w:val="none" w:sz="0" w:space="0" w:color="auto"/>
                                  </w:divBdr>
                                  <w:divsChild>
                                    <w:div w:id="1055348728">
                                      <w:marLeft w:val="0"/>
                                      <w:marRight w:val="0"/>
                                      <w:marTop w:val="0"/>
                                      <w:marBottom w:val="0"/>
                                      <w:divBdr>
                                        <w:top w:val="none" w:sz="0" w:space="0" w:color="auto"/>
                                        <w:left w:val="none" w:sz="0" w:space="0" w:color="auto"/>
                                        <w:bottom w:val="none" w:sz="0" w:space="0" w:color="auto"/>
                                        <w:right w:val="none" w:sz="0" w:space="0" w:color="auto"/>
                                      </w:divBdr>
                                    </w:div>
                                    <w:div w:id="1854297004">
                                      <w:marLeft w:val="0"/>
                                      <w:marRight w:val="0"/>
                                      <w:marTop w:val="0"/>
                                      <w:marBottom w:val="0"/>
                                      <w:divBdr>
                                        <w:top w:val="none" w:sz="0" w:space="0" w:color="auto"/>
                                        <w:left w:val="none" w:sz="0" w:space="0" w:color="auto"/>
                                        <w:bottom w:val="none" w:sz="0" w:space="0" w:color="auto"/>
                                        <w:right w:val="none" w:sz="0" w:space="0" w:color="auto"/>
                                      </w:divBdr>
                                      <w:divsChild>
                                        <w:div w:id="181626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1718496">
      <w:bodyDiv w:val="1"/>
      <w:marLeft w:val="0"/>
      <w:marRight w:val="0"/>
      <w:marTop w:val="0"/>
      <w:marBottom w:val="0"/>
      <w:divBdr>
        <w:top w:val="none" w:sz="0" w:space="0" w:color="auto"/>
        <w:left w:val="none" w:sz="0" w:space="0" w:color="auto"/>
        <w:bottom w:val="none" w:sz="0" w:space="0" w:color="auto"/>
        <w:right w:val="none" w:sz="0" w:space="0" w:color="auto"/>
      </w:divBdr>
      <w:divsChild>
        <w:div w:id="1007757106">
          <w:marLeft w:val="0"/>
          <w:marRight w:val="0"/>
          <w:marTop w:val="0"/>
          <w:marBottom w:val="0"/>
          <w:divBdr>
            <w:top w:val="none" w:sz="0" w:space="0" w:color="auto"/>
            <w:left w:val="none" w:sz="0" w:space="0" w:color="auto"/>
            <w:bottom w:val="none" w:sz="0" w:space="0" w:color="auto"/>
            <w:right w:val="none" w:sz="0" w:space="0" w:color="auto"/>
          </w:divBdr>
        </w:div>
        <w:div w:id="1556309285">
          <w:marLeft w:val="0"/>
          <w:marRight w:val="0"/>
          <w:marTop w:val="0"/>
          <w:marBottom w:val="0"/>
          <w:divBdr>
            <w:top w:val="none" w:sz="0" w:space="0" w:color="auto"/>
            <w:left w:val="none" w:sz="0" w:space="0" w:color="auto"/>
            <w:bottom w:val="none" w:sz="0" w:space="0" w:color="auto"/>
            <w:right w:val="none" w:sz="0" w:space="0" w:color="auto"/>
          </w:divBdr>
        </w:div>
        <w:div w:id="1421873519">
          <w:marLeft w:val="0"/>
          <w:marRight w:val="0"/>
          <w:marTop w:val="0"/>
          <w:marBottom w:val="0"/>
          <w:divBdr>
            <w:top w:val="none" w:sz="0" w:space="0" w:color="auto"/>
            <w:left w:val="none" w:sz="0" w:space="0" w:color="auto"/>
            <w:bottom w:val="none" w:sz="0" w:space="0" w:color="auto"/>
            <w:right w:val="none" w:sz="0" w:space="0" w:color="auto"/>
          </w:divBdr>
          <w:divsChild>
            <w:div w:id="1092704988">
              <w:marLeft w:val="0"/>
              <w:marRight w:val="0"/>
              <w:marTop w:val="0"/>
              <w:marBottom w:val="0"/>
              <w:divBdr>
                <w:top w:val="none" w:sz="0" w:space="0" w:color="auto"/>
                <w:left w:val="none" w:sz="0" w:space="0" w:color="auto"/>
                <w:bottom w:val="none" w:sz="0" w:space="0" w:color="auto"/>
                <w:right w:val="none" w:sz="0" w:space="0" w:color="auto"/>
              </w:divBdr>
              <w:divsChild>
                <w:div w:id="1754349047">
                  <w:marLeft w:val="0"/>
                  <w:marRight w:val="0"/>
                  <w:marTop w:val="0"/>
                  <w:marBottom w:val="360"/>
                  <w:divBdr>
                    <w:top w:val="none" w:sz="0" w:space="0" w:color="auto"/>
                    <w:left w:val="none" w:sz="0" w:space="0" w:color="auto"/>
                    <w:bottom w:val="none" w:sz="0" w:space="0" w:color="auto"/>
                    <w:right w:val="none" w:sz="0" w:space="0" w:color="auto"/>
                  </w:divBdr>
                  <w:divsChild>
                    <w:div w:id="1312713188">
                      <w:marLeft w:val="0"/>
                      <w:marRight w:val="0"/>
                      <w:marTop w:val="0"/>
                      <w:marBottom w:val="0"/>
                      <w:divBdr>
                        <w:top w:val="none" w:sz="0" w:space="0" w:color="auto"/>
                        <w:left w:val="none" w:sz="0" w:space="0" w:color="auto"/>
                        <w:bottom w:val="none" w:sz="0" w:space="0" w:color="auto"/>
                        <w:right w:val="none" w:sz="0" w:space="0" w:color="auto"/>
                      </w:divBdr>
                      <w:divsChild>
                        <w:div w:id="1807887981">
                          <w:marLeft w:val="0"/>
                          <w:marRight w:val="0"/>
                          <w:marTop w:val="0"/>
                          <w:marBottom w:val="0"/>
                          <w:divBdr>
                            <w:top w:val="none" w:sz="0" w:space="0" w:color="auto"/>
                            <w:left w:val="none" w:sz="0" w:space="0" w:color="auto"/>
                            <w:bottom w:val="none" w:sz="0" w:space="0" w:color="auto"/>
                            <w:right w:val="none" w:sz="0" w:space="0" w:color="auto"/>
                          </w:divBdr>
                        </w:div>
                        <w:div w:id="999772074">
                          <w:marLeft w:val="0"/>
                          <w:marRight w:val="0"/>
                          <w:marTop w:val="0"/>
                          <w:marBottom w:val="0"/>
                          <w:divBdr>
                            <w:top w:val="none" w:sz="0" w:space="0" w:color="auto"/>
                            <w:left w:val="none" w:sz="0" w:space="0" w:color="auto"/>
                            <w:bottom w:val="none" w:sz="0" w:space="0" w:color="auto"/>
                            <w:right w:val="none" w:sz="0" w:space="0" w:color="auto"/>
                          </w:divBdr>
                          <w:divsChild>
                            <w:div w:id="1488084107">
                              <w:marLeft w:val="0"/>
                              <w:marRight w:val="0"/>
                              <w:marTop w:val="0"/>
                              <w:marBottom w:val="0"/>
                              <w:divBdr>
                                <w:top w:val="none" w:sz="0" w:space="0" w:color="auto"/>
                                <w:left w:val="none" w:sz="0" w:space="0" w:color="auto"/>
                                <w:bottom w:val="none" w:sz="0" w:space="0" w:color="auto"/>
                                <w:right w:val="none" w:sz="0" w:space="0" w:color="auto"/>
                              </w:divBdr>
                              <w:divsChild>
                                <w:div w:id="808668210">
                                  <w:marLeft w:val="0"/>
                                  <w:marRight w:val="0"/>
                                  <w:marTop w:val="0"/>
                                  <w:marBottom w:val="75"/>
                                  <w:divBdr>
                                    <w:top w:val="none" w:sz="0" w:space="0" w:color="auto"/>
                                    <w:left w:val="none" w:sz="0" w:space="0" w:color="auto"/>
                                    <w:bottom w:val="none" w:sz="0" w:space="0" w:color="auto"/>
                                    <w:right w:val="none" w:sz="0" w:space="0" w:color="auto"/>
                                  </w:divBdr>
                                </w:div>
                                <w:div w:id="1225334255">
                                  <w:marLeft w:val="0"/>
                                  <w:marRight w:val="0"/>
                                  <w:marTop w:val="0"/>
                                  <w:marBottom w:val="75"/>
                                  <w:divBdr>
                                    <w:top w:val="none" w:sz="0" w:space="0" w:color="auto"/>
                                    <w:left w:val="none" w:sz="0" w:space="0" w:color="auto"/>
                                    <w:bottom w:val="none" w:sz="0" w:space="0" w:color="auto"/>
                                    <w:right w:val="none" w:sz="0" w:space="0" w:color="auto"/>
                                  </w:divBdr>
                                </w:div>
                              </w:divsChild>
                            </w:div>
                            <w:div w:id="1829399491">
                              <w:marLeft w:val="0"/>
                              <w:marRight w:val="0"/>
                              <w:marTop w:val="0"/>
                              <w:marBottom w:val="0"/>
                              <w:divBdr>
                                <w:top w:val="none" w:sz="0" w:space="0" w:color="auto"/>
                                <w:left w:val="none" w:sz="0" w:space="0" w:color="auto"/>
                                <w:bottom w:val="none" w:sz="0" w:space="0" w:color="auto"/>
                                <w:right w:val="none" w:sz="0" w:space="0" w:color="auto"/>
                              </w:divBdr>
                              <w:divsChild>
                                <w:div w:id="1790706001">
                                  <w:marLeft w:val="0"/>
                                  <w:marRight w:val="0"/>
                                  <w:marTop w:val="0"/>
                                  <w:marBottom w:val="75"/>
                                  <w:divBdr>
                                    <w:top w:val="none" w:sz="0" w:space="0" w:color="auto"/>
                                    <w:left w:val="none" w:sz="0" w:space="0" w:color="auto"/>
                                    <w:bottom w:val="none" w:sz="0" w:space="0" w:color="auto"/>
                                    <w:right w:val="none" w:sz="0" w:space="0" w:color="auto"/>
                                  </w:divBdr>
                                </w:div>
                                <w:div w:id="4127046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236157">
      <w:bodyDiv w:val="1"/>
      <w:marLeft w:val="0"/>
      <w:marRight w:val="0"/>
      <w:marTop w:val="0"/>
      <w:marBottom w:val="0"/>
      <w:divBdr>
        <w:top w:val="none" w:sz="0" w:space="0" w:color="auto"/>
        <w:left w:val="none" w:sz="0" w:space="0" w:color="auto"/>
        <w:bottom w:val="none" w:sz="0" w:space="0" w:color="auto"/>
        <w:right w:val="none" w:sz="0" w:space="0" w:color="auto"/>
      </w:divBdr>
      <w:divsChild>
        <w:div w:id="1590314882">
          <w:marLeft w:val="0"/>
          <w:marRight w:val="0"/>
          <w:marTop w:val="1095"/>
          <w:marBottom w:val="0"/>
          <w:divBdr>
            <w:top w:val="none" w:sz="0" w:space="0" w:color="auto"/>
            <w:left w:val="none" w:sz="0" w:space="0" w:color="auto"/>
            <w:bottom w:val="none" w:sz="0" w:space="0" w:color="auto"/>
            <w:right w:val="none" w:sz="0" w:space="0" w:color="auto"/>
          </w:divBdr>
          <w:divsChild>
            <w:div w:id="1077635675">
              <w:marLeft w:val="0"/>
              <w:marRight w:val="0"/>
              <w:marTop w:val="0"/>
              <w:marBottom w:val="0"/>
              <w:divBdr>
                <w:top w:val="none" w:sz="0" w:space="0" w:color="auto"/>
                <w:left w:val="none" w:sz="0" w:space="0" w:color="auto"/>
                <w:bottom w:val="none" w:sz="0" w:space="0" w:color="auto"/>
                <w:right w:val="none" w:sz="0" w:space="0" w:color="auto"/>
              </w:divBdr>
              <w:divsChild>
                <w:div w:id="807363589">
                  <w:marLeft w:val="8"/>
                  <w:marRight w:val="4"/>
                  <w:marTop w:val="0"/>
                  <w:marBottom w:val="0"/>
                  <w:divBdr>
                    <w:top w:val="none" w:sz="0" w:space="0" w:color="auto"/>
                    <w:left w:val="none" w:sz="0" w:space="0" w:color="auto"/>
                    <w:bottom w:val="none" w:sz="0" w:space="0" w:color="auto"/>
                    <w:right w:val="none" w:sz="0" w:space="0" w:color="auto"/>
                  </w:divBdr>
                  <w:divsChild>
                    <w:div w:id="1027948249">
                      <w:marLeft w:val="0"/>
                      <w:marRight w:val="0"/>
                      <w:marTop w:val="0"/>
                      <w:marBottom w:val="0"/>
                      <w:divBdr>
                        <w:top w:val="none" w:sz="0" w:space="0" w:color="auto"/>
                        <w:left w:val="none" w:sz="0" w:space="0" w:color="auto"/>
                        <w:bottom w:val="none" w:sz="0" w:space="0" w:color="auto"/>
                        <w:right w:val="none" w:sz="0" w:space="0" w:color="auto"/>
                      </w:divBdr>
                      <w:divsChild>
                        <w:div w:id="112276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8231946">
      <w:bodyDiv w:val="1"/>
      <w:marLeft w:val="0"/>
      <w:marRight w:val="0"/>
      <w:marTop w:val="0"/>
      <w:marBottom w:val="0"/>
      <w:divBdr>
        <w:top w:val="none" w:sz="0" w:space="0" w:color="auto"/>
        <w:left w:val="none" w:sz="0" w:space="0" w:color="auto"/>
        <w:bottom w:val="none" w:sz="0" w:space="0" w:color="auto"/>
        <w:right w:val="none" w:sz="0" w:space="0" w:color="auto"/>
      </w:divBdr>
      <w:divsChild>
        <w:div w:id="520506930">
          <w:marLeft w:val="0"/>
          <w:marRight w:val="0"/>
          <w:marTop w:val="0"/>
          <w:marBottom w:val="0"/>
          <w:divBdr>
            <w:top w:val="none" w:sz="0" w:space="0" w:color="auto"/>
            <w:left w:val="none" w:sz="0" w:space="0" w:color="auto"/>
            <w:bottom w:val="none" w:sz="0" w:space="0" w:color="auto"/>
            <w:right w:val="none" w:sz="0" w:space="0" w:color="auto"/>
          </w:divBdr>
          <w:divsChild>
            <w:div w:id="1734742842">
              <w:marLeft w:val="0"/>
              <w:marRight w:val="0"/>
              <w:marTop w:val="0"/>
              <w:marBottom w:val="0"/>
              <w:divBdr>
                <w:top w:val="none" w:sz="0" w:space="0" w:color="auto"/>
                <w:left w:val="none" w:sz="0" w:space="0" w:color="auto"/>
                <w:bottom w:val="none" w:sz="0" w:space="0" w:color="auto"/>
                <w:right w:val="none" w:sz="0" w:space="0" w:color="auto"/>
              </w:divBdr>
              <w:divsChild>
                <w:div w:id="1246501856">
                  <w:marLeft w:val="0"/>
                  <w:marRight w:val="0"/>
                  <w:marTop w:val="0"/>
                  <w:marBottom w:val="0"/>
                  <w:divBdr>
                    <w:top w:val="none" w:sz="0" w:space="0" w:color="auto"/>
                    <w:left w:val="none" w:sz="0" w:space="0" w:color="auto"/>
                    <w:bottom w:val="none" w:sz="0" w:space="0" w:color="auto"/>
                    <w:right w:val="none" w:sz="0" w:space="0" w:color="auto"/>
                  </w:divBdr>
                  <w:divsChild>
                    <w:div w:id="1846481893">
                      <w:marLeft w:val="0"/>
                      <w:marRight w:val="0"/>
                      <w:marTop w:val="0"/>
                      <w:marBottom w:val="0"/>
                      <w:divBdr>
                        <w:top w:val="none" w:sz="0" w:space="0" w:color="auto"/>
                        <w:left w:val="none" w:sz="0" w:space="0" w:color="auto"/>
                        <w:bottom w:val="none" w:sz="0" w:space="0" w:color="auto"/>
                        <w:right w:val="none" w:sz="0" w:space="0" w:color="auto"/>
                      </w:divBdr>
                      <w:divsChild>
                        <w:div w:id="400562127">
                          <w:marLeft w:val="0"/>
                          <w:marRight w:val="0"/>
                          <w:marTop w:val="0"/>
                          <w:marBottom w:val="0"/>
                          <w:divBdr>
                            <w:top w:val="none" w:sz="0" w:space="0" w:color="auto"/>
                            <w:left w:val="none" w:sz="0" w:space="0" w:color="auto"/>
                            <w:bottom w:val="none" w:sz="0" w:space="0" w:color="auto"/>
                            <w:right w:val="none" w:sz="0" w:space="0" w:color="auto"/>
                          </w:divBdr>
                          <w:divsChild>
                            <w:div w:id="2049068982">
                              <w:marLeft w:val="0"/>
                              <w:marRight w:val="0"/>
                              <w:marTop w:val="0"/>
                              <w:marBottom w:val="0"/>
                              <w:divBdr>
                                <w:top w:val="none" w:sz="0" w:space="0" w:color="auto"/>
                                <w:left w:val="none" w:sz="0" w:space="0" w:color="auto"/>
                                <w:bottom w:val="none" w:sz="0" w:space="0" w:color="auto"/>
                                <w:right w:val="none" w:sz="0" w:space="0" w:color="auto"/>
                              </w:divBdr>
                              <w:divsChild>
                                <w:div w:id="14470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st.com/news/briefing/21724801-germany-admired-its-stability-derided-persistent-trade-surpluses-good-and-ba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https://stats.oecd.org/WBOS/index.aspx"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D0130D-EA3D-4F36-BBA4-6B658A13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2156</Words>
  <Characters>11861</Characters>
  <Application>Microsoft Office Word</Application>
  <DocSecurity>0</DocSecurity>
  <Lines>98</Lines>
  <Paragraphs>27</Paragraphs>
  <ScaleCrop>false</ScaleCrop>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2020-02-17T08:11:00Z</dcterms:created>
  <dcterms:modified xsi:type="dcterms:W3CDTF">2020-02-17T08:11:00Z</dcterms:modified>
</cp:coreProperties>
</file>